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C3323" w14:textId="77777777" w:rsidR="00887522" w:rsidRPr="00887522" w:rsidRDefault="00887522" w:rsidP="005A48B8">
      <w:pPr>
        <w:spacing w:line="276" w:lineRule="auto"/>
        <w:jc w:val="both"/>
        <w:rPr>
          <w:rFonts w:ascii="Arial" w:hAnsi="Arial" w:cs="Arial"/>
          <w:b/>
          <w:bCs/>
        </w:rPr>
      </w:pPr>
      <w:r w:rsidRPr="00887522">
        <w:rPr>
          <w:rFonts w:ascii="Arial" w:hAnsi="Arial" w:cs="Arial"/>
          <w:b/>
          <w:bCs/>
        </w:rPr>
        <w:t>Bogotá, D.C.</w:t>
      </w:r>
    </w:p>
    <w:p w14:paraId="067F4840" w14:textId="77777777" w:rsidR="00887522" w:rsidRDefault="00887522" w:rsidP="005A48B8">
      <w:pPr>
        <w:spacing w:line="276" w:lineRule="auto"/>
        <w:jc w:val="both"/>
        <w:rPr>
          <w:rFonts w:ascii="Arial" w:hAnsi="Arial" w:cs="Arial"/>
          <w:b/>
          <w:bCs/>
        </w:rPr>
      </w:pPr>
    </w:p>
    <w:p w14:paraId="5F79088F" w14:textId="68CFC9D8" w:rsidR="00887522" w:rsidRDefault="00887522" w:rsidP="005A48B8">
      <w:pPr>
        <w:spacing w:line="276" w:lineRule="auto"/>
        <w:jc w:val="both"/>
        <w:rPr>
          <w:rFonts w:ascii="Arial" w:hAnsi="Arial" w:cs="Arial"/>
          <w:b/>
          <w:bCs/>
        </w:rPr>
      </w:pPr>
      <w:r w:rsidRPr="00887522">
        <w:rPr>
          <w:rFonts w:ascii="Arial" w:hAnsi="Arial" w:cs="Arial"/>
          <w:b/>
          <w:bCs/>
        </w:rPr>
        <w:t>Concepto técnico</w:t>
      </w:r>
    </w:p>
    <w:p w14:paraId="4C0A8F25" w14:textId="77777777" w:rsidR="00887522" w:rsidRDefault="00887522" w:rsidP="005A48B8">
      <w:pPr>
        <w:spacing w:line="276" w:lineRule="auto"/>
        <w:jc w:val="both"/>
        <w:rPr>
          <w:rFonts w:ascii="Arial" w:hAnsi="Arial" w:cs="Arial"/>
          <w:b/>
          <w:bCs/>
        </w:rPr>
      </w:pPr>
      <w:r w:rsidRPr="00887522">
        <w:rPr>
          <w:rFonts w:ascii="Arial" w:hAnsi="Arial" w:cs="Arial"/>
          <w:b/>
          <w:bCs/>
        </w:rPr>
        <w:t>Proyecto de Ley No. 152 de 2025 Senado – 451 de 2024 Cámara</w:t>
      </w:r>
    </w:p>
    <w:p w14:paraId="4E12BA27" w14:textId="5A56B92B" w:rsidR="00887522" w:rsidRPr="00887522" w:rsidRDefault="00887522" w:rsidP="005A48B8">
      <w:pPr>
        <w:spacing w:line="276" w:lineRule="auto"/>
        <w:jc w:val="both"/>
        <w:rPr>
          <w:rFonts w:ascii="Arial" w:hAnsi="Arial" w:cs="Arial"/>
        </w:rPr>
      </w:pPr>
      <w:r w:rsidRPr="00887522">
        <w:rPr>
          <w:rFonts w:ascii="Arial" w:hAnsi="Arial" w:cs="Arial"/>
          <w:i/>
          <w:iCs/>
        </w:rPr>
        <w:t>“Por medio del cual se promueve e incentiva el desarrollo del ecosistema del hidrógeno de bajas emisiones en Colombia y se dictan otras disposiciones”</w:t>
      </w:r>
    </w:p>
    <w:p w14:paraId="0D1866F1" w14:textId="77777777" w:rsidR="00887522" w:rsidRDefault="00887522" w:rsidP="005A48B8">
      <w:pPr>
        <w:spacing w:line="276" w:lineRule="auto"/>
        <w:jc w:val="both"/>
        <w:rPr>
          <w:rFonts w:ascii="Arial" w:hAnsi="Arial" w:cs="Arial"/>
          <w:b/>
          <w:bCs/>
        </w:rPr>
      </w:pPr>
    </w:p>
    <w:p w14:paraId="766D55A5" w14:textId="5C037E7D" w:rsidR="00887522" w:rsidRDefault="00887522" w:rsidP="005A48B8">
      <w:pPr>
        <w:spacing w:line="276" w:lineRule="auto"/>
        <w:jc w:val="both"/>
        <w:rPr>
          <w:rFonts w:ascii="Arial" w:hAnsi="Arial" w:cs="Arial"/>
          <w:b/>
          <w:bCs/>
        </w:rPr>
      </w:pPr>
      <w:r w:rsidRPr="00887522">
        <w:rPr>
          <w:rFonts w:ascii="Arial" w:hAnsi="Arial" w:cs="Arial"/>
          <w:b/>
          <w:bCs/>
        </w:rPr>
        <w:t>Ministerio de Minas y Energía</w:t>
      </w:r>
    </w:p>
    <w:p w14:paraId="226D71EA" w14:textId="77777777" w:rsidR="00887522" w:rsidRDefault="00887522" w:rsidP="005A48B8">
      <w:pPr>
        <w:spacing w:line="276" w:lineRule="auto"/>
        <w:jc w:val="both"/>
        <w:rPr>
          <w:rFonts w:ascii="Arial" w:hAnsi="Arial" w:cs="Arial"/>
          <w:b/>
          <w:bCs/>
        </w:rPr>
      </w:pPr>
      <w:r w:rsidRPr="00887522">
        <w:rPr>
          <w:rFonts w:ascii="Arial" w:hAnsi="Arial" w:cs="Arial"/>
          <w:b/>
          <w:bCs/>
        </w:rPr>
        <w:t>Dirección de Hidrocarburos</w:t>
      </w:r>
    </w:p>
    <w:p w14:paraId="2A0082D8" w14:textId="77777777" w:rsidR="00887522" w:rsidRDefault="00887522" w:rsidP="005A48B8">
      <w:pPr>
        <w:spacing w:line="276" w:lineRule="auto"/>
        <w:jc w:val="both"/>
        <w:rPr>
          <w:rFonts w:ascii="Arial" w:hAnsi="Arial" w:cs="Arial"/>
          <w:b/>
          <w:bCs/>
        </w:rPr>
      </w:pPr>
      <w:r w:rsidRPr="00887522">
        <w:rPr>
          <w:rFonts w:ascii="Arial" w:hAnsi="Arial" w:cs="Arial"/>
          <w:b/>
          <w:bCs/>
        </w:rPr>
        <w:t>Grupo de Energías Alternativas y Sostenibles</w:t>
      </w:r>
    </w:p>
    <w:p w14:paraId="3F7C4E59" w14:textId="3A7B5F37" w:rsidR="00887522" w:rsidRPr="00887522" w:rsidRDefault="00887522" w:rsidP="005A48B8">
      <w:pPr>
        <w:spacing w:line="276" w:lineRule="auto"/>
        <w:jc w:val="both"/>
        <w:rPr>
          <w:rFonts w:ascii="Arial" w:hAnsi="Arial" w:cs="Arial"/>
          <w:b/>
          <w:bCs/>
        </w:rPr>
      </w:pPr>
      <w:r w:rsidRPr="00887522">
        <w:rPr>
          <w:rFonts w:ascii="Arial" w:hAnsi="Arial" w:cs="Arial"/>
          <w:b/>
          <w:bCs/>
        </w:rPr>
        <w:t>Grupo Técnico de Hidrógeno</w:t>
      </w:r>
    </w:p>
    <w:p w14:paraId="017B0636" w14:textId="77777777" w:rsidR="0063775C" w:rsidRPr="00965D0F" w:rsidRDefault="0063775C" w:rsidP="00965D0F">
      <w:pPr>
        <w:spacing w:line="276" w:lineRule="auto"/>
        <w:jc w:val="both"/>
        <w:rPr>
          <w:rFonts w:ascii="Arial" w:hAnsi="Arial" w:cs="Arial"/>
        </w:rPr>
      </w:pPr>
    </w:p>
    <w:p w14:paraId="5A0D58CE" w14:textId="232889C3" w:rsidR="00965D0F" w:rsidRDefault="00031C33" w:rsidP="00965D0F">
      <w:pPr>
        <w:spacing w:line="276" w:lineRule="auto"/>
        <w:jc w:val="both"/>
        <w:rPr>
          <w:rFonts w:ascii="Arial" w:hAnsi="Arial" w:cs="Arial"/>
        </w:rPr>
      </w:pPr>
      <w:r w:rsidRPr="00031C33">
        <w:rPr>
          <w:rFonts w:ascii="Arial" w:hAnsi="Arial" w:cs="Arial"/>
        </w:rPr>
        <w:t>En atención a la solicitud del Grupo de Asuntos Legislativos del Ministerio de Minas y Energía y a la comunicación de la Honorable Representante Isabell Cristina Zuleta López, este Grupo Técnico de Hidrógeno presenta las siguientes consideraciones técnicas sobre el texto definitivo aprobado en la Plenaria de la Cámara de Representantes del Proyecto de Ley No. 152 de 2025 Senado – 451 de 2024 Cámara.</w:t>
      </w:r>
    </w:p>
    <w:p w14:paraId="43F01BB4" w14:textId="77777777" w:rsidR="00031C33" w:rsidRPr="00CF0FF7" w:rsidRDefault="00031C33" w:rsidP="00965D0F">
      <w:pPr>
        <w:spacing w:line="276" w:lineRule="auto"/>
        <w:jc w:val="both"/>
        <w:rPr>
          <w:rFonts w:ascii="Arial" w:hAnsi="Arial" w:cs="Arial"/>
        </w:rPr>
      </w:pPr>
    </w:p>
    <w:p w14:paraId="2D6DFAB6" w14:textId="4C200E66" w:rsidR="00965D0F" w:rsidRDefault="00034E08" w:rsidP="00965D0F">
      <w:pPr>
        <w:spacing w:line="276" w:lineRule="auto"/>
        <w:jc w:val="both"/>
        <w:rPr>
          <w:rFonts w:ascii="Arial" w:hAnsi="Arial" w:cs="Arial"/>
        </w:rPr>
      </w:pPr>
      <w:r w:rsidRPr="00034E08">
        <w:rPr>
          <w:rFonts w:ascii="Arial" w:hAnsi="Arial" w:cs="Arial"/>
        </w:rPr>
        <w:t>El Ministerio de Minas y Energía reconoce la importancia de esta iniciativa legislativa para promover el desarrollo del hidrógeno de bajas emisiones en Colombia, como herramienta para la transición energética, la descarbonización y el desarrollo de nuevas cadenas productivas.</w:t>
      </w:r>
    </w:p>
    <w:p w14:paraId="1B110178" w14:textId="77777777" w:rsidR="00034E08" w:rsidRPr="00CF0FF7" w:rsidRDefault="00034E08" w:rsidP="00965D0F">
      <w:pPr>
        <w:spacing w:line="276" w:lineRule="auto"/>
        <w:jc w:val="both"/>
        <w:rPr>
          <w:rFonts w:ascii="Arial" w:hAnsi="Arial" w:cs="Arial"/>
        </w:rPr>
      </w:pPr>
    </w:p>
    <w:p w14:paraId="5BDBB843" w14:textId="44ACCB35" w:rsidR="00CF0FF7" w:rsidRDefault="00034E08" w:rsidP="00965D0F">
      <w:pPr>
        <w:spacing w:line="276" w:lineRule="auto"/>
        <w:jc w:val="both"/>
        <w:rPr>
          <w:rFonts w:ascii="Arial" w:hAnsi="Arial" w:cs="Arial"/>
        </w:rPr>
      </w:pPr>
      <w:r w:rsidRPr="00034E08">
        <w:rPr>
          <w:rFonts w:ascii="Arial" w:hAnsi="Arial" w:cs="Arial"/>
        </w:rPr>
        <w:t>No obstante, del análisis del texto aprobado se identifican algunos aspectos que podrían requerir ajustes para asegurar coherencia con el marco normativo vigente del sector energético y con las competencias institucionales.</w:t>
      </w:r>
    </w:p>
    <w:p w14:paraId="7A30AD8D" w14:textId="77777777" w:rsidR="00034E08" w:rsidRPr="00CF0FF7" w:rsidRDefault="00034E08" w:rsidP="00965D0F">
      <w:pPr>
        <w:spacing w:line="276" w:lineRule="auto"/>
        <w:jc w:val="both"/>
        <w:rPr>
          <w:rFonts w:ascii="Arial" w:hAnsi="Arial" w:cs="Arial"/>
        </w:rPr>
      </w:pPr>
    </w:p>
    <w:p w14:paraId="1738C612" w14:textId="57AB68DC" w:rsidR="00CF0FF7" w:rsidRPr="00965D0F" w:rsidRDefault="00CF0FF7" w:rsidP="00965D0F">
      <w:pPr>
        <w:pStyle w:val="Prrafodelista"/>
        <w:numPr>
          <w:ilvl w:val="0"/>
          <w:numId w:val="3"/>
        </w:numPr>
        <w:spacing w:after="0" w:line="276" w:lineRule="auto"/>
        <w:jc w:val="both"/>
        <w:rPr>
          <w:rFonts w:ascii="Arial" w:hAnsi="Arial" w:cs="Arial"/>
          <w:b/>
          <w:bCs/>
        </w:rPr>
      </w:pPr>
      <w:r w:rsidRPr="00965D0F">
        <w:rPr>
          <w:rFonts w:ascii="Arial" w:hAnsi="Arial" w:cs="Arial"/>
          <w:b/>
          <w:bCs/>
        </w:rPr>
        <w:t>Observaciones frente a las definiciones del proyecto de ley</w:t>
      </w:r>
    </w:p>
    <w:p w14:paraId="44A3B3D4" w14:textId="77777777" w:rsidR="0098424E" w:rsidRPr="00965D0F" w:rsidRDefault="0098424E" w:rsidP="00965D0F">
      <w:pPr>
        <w:spacing w:line="276" w:lineRule="auto"/>
        <w:jc w:val="both"/>
        <w:rPr>
          <w:rFonts w:ascii="Arial" w:hAnsi="Arial" w:cs="Arial"/>
        </w:rPr>
      </w:pPr>
    </w:p>
    <w:p w14:paraId="6E9099EC" w14:textId="24A4E0B0" w:rsidR="00965D0F" w:rsidRDefault="00965D0F" w:rsidP="00965D0F">
      <w:pPr>
        <w:spacing w:line="276" w:lineRule="auto"/>
        <w:jc w:val="both"/>
        <w:rPr>
          <w:rFonts w:ascii="Arial" w:hAnsi="Arial" w:cs="Arial"/>
        </w:rPr>
      </w:pPr>
      <w:r w:rsidRPr="00965D0F">
        <w:rPr>
          <w:rFonts w:ascii="Arial" w:hAnsi="Arial" w:cs="Arial"/>
        </w:rPr>
        <w:t>El proyecto de ley incorpora definiciones relacionadas con eficiencia energética y Fuentes No Convencionales de Energía Renovable (FNCER), conceptos que ya se encuentran definidos en la Ley 1715 de 2014, modificada por la Ley 2099 de 2021. En este sentido, se recomienda remitir expresamente a dichas definiciones, con el fin de evitar duplicidades o inconsistencias normativas.</w:t>
      </w:r>
    </w:p>
    <w:p w14:paraId="4D6756E9" w14:textId="77777777" w:rsidR="00965D0F" w:rsidRPr="00965D0F" w:rsidRDefault="00965D0F" w:rsidP="00965D0F">
      <w:pPr>
        <w:spacing w:line="276" w:lineRule="auto"/>
        <w:jc w:val="both"/>
        <w:rPr>
          <w:rFonts w:ascii="Arial" w:hAnsi="Arial" w:cs="Arial"/>
        </w:rPr>
      </w:pPr>
    </w:p>
    <w:p w14:paraId="6069DA3B" w14:textId="54551F0C" w:rsidR="00965D0F" w:rsidRDefault="00965D0F" w:rsidP="00965D0F">
      <w:pPr>
        <w:spacing w:line="276" w:lineRule="auto"/>
        <w:jc w:val="both"/>
        <w:rPr>
          <w:rFonts w:ascii="Arial" w:hAnsi="Arial" w:cs="Arial"/>
        </w:rPr>
      </w:pPr>
      <w:r w:rsidRPr="00965D0F">
        <w:rPr>
          <w:rFonts w:ascii="Arial" w:hAnsi="Arial" w:cs="Arial"/>
        </w:rPr>
        <w:t xml:space="preserve">Adicionalmente, la definición de FNCER contenida en el proyecto difiere de la establecida en la Ley 1715 de 2014. Mientras la ley reconoce de manera amplia la energía de los mares como fuente renovable, </w:t>
      </w:r>
      <w:r w:rsidRPr="00557988">
        <w:rPr>
          <w:rFonts w:ascii="Arial" w:hAnsi="Arial" w:cs="Arial"/>
          <w:b/>
          <w:bCs/>
        </w:rPr>
        <w:t xml:space="preserve">el proyecto la limita únicamente a </w:t>
      </w:r>
      <w:r w:rsidRPr="00557988">
        <w:rPr>
          <w:rFonts w:ascii="Arial" w:hAnsi="Arial" w:cs="Arial"/>
          <w:b/>
          <w:bCs/>
        </w:rPr>
        <w:lastRenderedPageBreak/>
        <w:t>energía mareomotriz</w:t>
      </w:r>
      <w:r w:rsidRPr="00965D0F">
        <w:rPr>
          <w:rFonts w:ascii="Arial" w:hAnsi="Arial" w:cs="Arial"/>
        </w:rPr>
        <w:t>, dejando por fuera otras formas de aprovechamiento energético del mar.</w:t>
      </w:r>
    </w:p>
    <w:p w14:paraId="68000611" w14:textId="77777777" w:rsidR="00965D0F" w:rsidRPr="00965D0F" w:rsidRDefault="00965D0F" w:rsidP="00965D0F">
      <w:pPr>
        <w:spacing w:line="276" w:lineRule="auto"/>
        <w:jc w:val="both"/>
        <w:rPr>
          <w:rFonts w:ascii="Arial" w:hAnsi="Arial" w:cs="Arial"/>
        </w:rPr>
      </w:pPr>
    </w:p>
    <w:p w14:paraId="410E5ED5" w14:textId="57E5E78B" w:rsidR="00CF0FF7" w:rsidRDefault="00965D0F" w:rsidP="00965D0F">
      <w:pPr>
        <w:spacing w:line="276" w:lineRule="auto"/>
        <w:jc w:val="both"/>
        <w:rPr>
          <w:rFonts w:ascii="Arial" w:hAnsi="Arial" w:cs="Arial"/>
        </w:rPr>
      </w:pPr>
      <w:r w:rsidRPr="00965D0F">
        <w:rPr>
          <w:rFonts w:ascii="Arial" w:hAnsi="Arial" w:cs="Arial"/>
        </w:rPr>
        <w:t>Por lo anterior, se sugiere ajustar o eliminar esta definición y remitir a la contenida en la Ley 1715 de 2014 y sus modificaciones.</w:t>
      </w:r>
    </w:p>
    <w:p w14:paraId="69C7580C" w14:textId="77777777" w:rsidR="00965D0F" w:rsidRPr="00CF0FF7" w:rsidRDefault="00965D0F" w:rsidP="00965D0F">
      <w:pPr>
        <w:spacing w:line="276" w:lineRule="auto"/>
        <w:jc w:val="both"/>
        <w:rPr>
          <w:rFonts w:ascii="Arial" w:hAnsi="Arial" w:cs="Arial"/>
        </w:rPr>
      </w:pPr>
    </w:p>
    <w:p w14:paraId="5F58DD21" w14:textId="3150FA9D" w:rsidR="00CF0FF7" w:rsidRDefault="00CF0FF7" w:rsidP="00965D0F">
      <w:pPr>
        <w:pStyle w:val="Prrafodelista"/>
        <w:numPr>
          <w:ilvl w:val="0"/>
          <w:numId w:val="3"/>
        </w:numPr>
        <w:spacing w:after="0" w:line="276" w:lineRule="auto"/>
        <w:jc w:val="both"/>
        <w:rPr>
          <w:rFonts w:ascii="Arial" w:hAnsi="Arial" w:cs="Arial"/>
          <w:b/>
          <w:bCs/>
        </w:rPr>
      </w:pPr>
      <w:r w:rsidRPr="00965D0F">
        <w:rPr>
          <w:rFonts w:ascii="Arial" w:hAnsi="Arial" w:cs="Arial"/>
          <w:b/>
          <w:bCs/>
        </w:rPr>
        <w:t>Observaciones frente a</w:t>
      </w:r>
      <w:r w:rsidR="00AA6BC5">
        <w:rPr>
          <w:rFonts w:ascii="Arial" w:hAnsi="Arial" w:cs="Arial"/>
          <w:b/>
          <w:bCs/>
        </w:rPr>
        <w:t>l</w:t>
      </w:r>
      <w:r w:rsidRPr="00965D0F">
        <w:rPr>
          <w:rFonts w:ascii="Arial" w:hAnsi="Arial" w:cs="Arial"/>
          <w:b/>
          <w:bCs/>
        </w:rPr>
        <w:t xml:space="preserve"> artículo 3 – Reconocimiento del hidrógeno y sus derivados</w:t>
      </w:r>
    </w:p>
    <w:p w14:paraId="7E2D94B2" w14:textId="77777777" w:rsidR="00965D0F" w:rsidRPr="00965D0F" w:rsidRDefault="00965D0F" w:rsidP="00965D0F">
      <w:pPr>
        <w:spacing w:line="276" w:lineRule="auto"/>
        <w:jc w:val="both"/>
        <w:rPr>
          <w:rFonts w:ascii="Arial" w:hAnsi="Arial" w:cs="Arial"/>
          <w:b/>
          <w:bCs/>
        </w:rPr>
      </w:pPr>
    </w:p>
    <w:p w14:paraId="5EF3A75D" w14:textId="77777777" w:rsidR="00DB48E8" w:rsidRPr="00DB48E8" w:rsidRDefault="00DB48E8" w:rsidP="00DB48E8">
      <w:pPr>
        <w:spacing w:line="276" w:lineRule="auto"/>
        <w:jc w:val="both"/>
        <w:rPr>
          <w:rFonts w:ascii="Arial" w:hAnsi="Arial" w:cs="Arial"/>
        </w:rPr>
      </w:pPr>
      <w:r w:rsidRPr="00DB48E8">
        <w:rPr>
          <w:rFonts w:ascii="Arial" w:hAnsi="Arial" w:cs="Arial"/>
        </w:rPr>
        <w:t>El proyecto reconoce al hidrógeno de bajas emisiones y sus derivados dentro del marco de las fuentes no convencionales de energía.</w:t>
      </w:r>
    </w:p>
    <w:p w14:paraId="44687406" w14:textId="77777777" w:rsidR="00DB48E8" w:rsidRPr="00DB48E8" w:rsidRDefault="00DB48E8" w:rsidP="00DB48E8">
      <w:pPr>
        <w:spacing w:line="276" w:lineRule="auto"/>
        <w:jc w:val="both"/>
        <w:rPr>
          <w:rFonts w:ascii="Arial" w:hAnsi="Arial" w:cs="Arial"/>
        </w:rPr>
      </w:pPr>
    </w:p>
    <w:p w14:paraId="237495FE" w14:textId="7637F0D4" w:rsidR="00CF0FF7" w:rsidRDefault="00DB48E8" w:rsidP="00DB48E8">
      <w:pPr>
        <w:spacing w:line="276" w:lineRule="auto"/>
        <w:jc w:val="both"/>
        <w:rPr>
          <w:rFonts w:ascii="Arial" w:hAnsi="Arial" w:cs="Arial"/>
        </w:rPr>
      </w:pPr>
      <w:r w:rsidRPr="00DB48E8">
        <w:rPr>
          <w:rFonts w:ascii="Arial" w:hAnsi="Arial" w:cs="Arial"/>
        </w:rPr>
        <w:t>No obstante, se recomienda precisar que los derivados del hidrógeno (como el amoníaco u otros compuestos) solo se considerarán FNCE cuando tengan fines energéticos, dado que estos también pueden tener usos industriales, químicos o agrícolas que no corresponden al alcance de la Ley 1715 de 2014.</w:t>
      </w:r>
    </w:p>
    <w:p w14:paraId="50D8B189" w14:textId="77777777" w:rsidR="00F0799A" w:rsidRDefault="00F0799A" w:rsidP="00965D0F">
      <w:pPr>
        <w:spacing w:line="276" w:lineRule="auto"/>
        <w:jc w:val="both"/>
        <w:rPr>
          <w:rFonts w:ascii="Arial" w:hAnsi="Arial" w:cs="Arial"/>
        </w:rPr>
      </w:pPr>
    </w:p>
    <w:p w14:paraId="49358864" w14:textId="77777777" w:rsidR="00F0799A" w:rsidRPr="00F0799A" w:rsidRDefault="00F0799A" w:rsidP="00F0799A">
      <w:pPr>
        <w:pStyle w:val="Prrafodelista"/>
        <w:numPr>
          <w:ilvl w:val="0"/>
          <w:numId w:val="3"/>
        </w:numPr>
        <w:spacing w:line="276" w:lineRule="auto"/>
        <w:jc w:val="both"/>
        <w:rPr>
          <w:rFonts w:ascii="Arial" w:hAnsi="Arial" w:cs="Arial"/>
          <w:b/>
          <w:bCs/>
        </w:rPr>
      </w:pPr>
      <w:r w:rsidRPr="00F0799A">
        <w:rPr>
          <w:rFonts w:ascii="Arial" w:hAnsi="Arial" w:cs="Arial"/>
          <w:b/>
          <w:bCs/>
        </w:rPr>
        <w:t>Observación frente al artículo 8 – Comisión Técnica Intersectorial para la Gobernanza del Hidrógeno</w:t>
      </w:r>
    </w:p>
    <w:p w14:paraId="5C77D438" w14:textId="77777777" w:rsidR="00F0799A" w:rsidRDefault="00F0799A" w:rsidP="00F0799A">
      <w:pPr>
        <w:pStyle w:val="Prrafodelista"/>
        <w:spacing w:line="276" w:lineRule="auto"/>
        <w:ind w:left="0"/>
        <w:jc w:val="both"/>
        <w:rPr>
          <w:rFonts w:ascii="Arial" w:hAnsi="Arial" w:cs="Arial"/>
        </w:rPr>
      </w:pPr>
    </w:p>
    <w:p w14:paraId="6CC51AE7" w14:textId="5ABDAFBF" w:rsidR="00F0799A" w:rsidRDefault="00A50782" w:rsidP="00F0799A">
      <w:pPr>
        <w:pStyle w:val="Prrafodelista"/>
        <w:spacing w:line="276" w:lineRule="auto"/>
        <w:ind w:left="0"/>
        <w:jc w:val="both"/>
        <w:rPr>
          <w:rFonts w:ascii="Arial" w:hAnsi="Arial" w:cs="Arial"/>
        </w:rPr>
      </w:pPr>
      <w:r w:rsidRPr="00A50782">
        <w:rPr>
          <w:rFonts w:ascii="Arial" w:hAnsi="Arial" w:cs="Arial"/>
        </w:rPr>
        <w:t>Se recomienda incluir al Ministerio de Ciencia, Tecnología e Innovación dentro de la Comisión Técnica Intersectorial para la Gobernanza del Hidrógeno, considerando el papel de la investigación, el desarrollo tecnológico, la innovación y la formación de talento humano en el desarrollo del ecosistema del hidrógeno.</w:t>
      </w:r>
    </w:p>
    <w:p w14:paraId="569C6DF5" w14:textId="77777777" w:rsidR="00A50782" w:rsidRPr="00F0799A" w:rsidRDefault="00A50782" w:rsidP="00F0799A">
      <w:pPr>
        <w:pStyle w:val="Prrafodelista"/>
        <w:spacing w:line="276" w:lineRule="auto"/>
        <w:ind w:left="0"/>
        <w:jc w:val="both"/>
        <w:rPr>
          <w:rFonts w:ascii="Arial" w:hAnsi="Arial" w:cs="Arial"/>
        </w:rPr>
      </w:pPr>
    </w:p>
    <w:p w14:paraId="7A00420D" w14:textId="77777777" w:rsidR="00F0799A" w:rsidRDefault="00F0799A" w:rsidP="00F0799A">
      <w:pPr>
        <w:pStyle w:val="Prrafodelista"/>
        <w:spacing w:line="276" w:lineRule="auto"/>
        <w:ind w:left="0"/>
        <w:jc w:val="both"/>
        <w:rPr>
          <w:rFonts w:ascii="Arial" w:hAnsi="Arial" w:cs="Arial"/>
        </w:rPr>
      </w:pPr>
      <w:r w:rsidRPr="00F0799A">
        <w:rPr>
          <w:rFonts w:ascii="Arial" w:hAnsi="Arial" w:cs="Arial"/>
        </w:rPr>
        <w:t>Adicionalmente, la participación de esta cartera permitiría articular de manera más efectiva las políticas públicas relacionadas con I+D+i, así como los instrumentos de financiación y fortalecimiento del ecosistema científico y tecnológico asociados al desarrollo del hidrógeno y sus derivados.</w:t>
      </w:r>
    </w:p>
    <w:p w14:paraId="5C83557E" w14:textId="77777777" w:rsidR="00F0799A" w:rsidRPr="00F0799A" w:rsidRDefault="00F0799A" w:rsidP="00F0799A">
      <w:pPr>
        <w:pStyle w:val="Prrafodelista"/>
        <w:spacing w:line="276" w:lineRule="auto"/>
        <w:ind w:left="0"/>
        <w:jc w:val="both"/>
        <w:rPr>
          <w:rFonts w:ascii="Arial" w:hAnsi="Arial" w:cs="Arial"/>
        </w:rPr>
      </w:pPr>
    </w:p>
    <w:p w14:paraId="4AAAFF33" w14:textId="14BF3E7F" w:rsidR="00CF0FF7" w:rsidRDefault="00F0799A" w:rsidP="00F0799A">
      <w:pPr>
        <w:pStyle w:val="Prrafodelista"/>
        <w:spacing w:line="276" w:lineRule="auto"/>
        <w:ind w:left="0"/>
        <w:jc w:val="both"/>
        <w:rPr>
          <w:rFonts w:ascii="Arial" w:hAnsi="Arial" w:cs="Arial"/>
        </w:rPr>
      </w:pPr>
      <w:r w:rsidRPr="00F0799A">
        <w:rPr>
          <w:rFonts w:ascii="Arial" w:hAnsi="Arial" w:cs="Arial"/>
        </w:rPr>
        <w:t xml:space="preserve">En ese sentido, se recomienda incorporar al </w:t>
      </w:r>
      <w:r w:rsidRPr="00F0799A">
        <w:rPr>
          <w:rFonts w:ascii="Arial" w:hAnsi="Arial" w:cs="Arial"/>
          <w:b/>
          <w:bCs/>
        </w:rPr>
        <w:t>Ministerio de Ciencia, Tecnología e Innovación</w:t>
      </w:r>
      <w:r w:rsidRPr="00F0799A">
        <w:rPr>
          <w:rFonts w:ascii="Arial" w:hAnsi="Arial" w:cs="Arial"/>
        </w:rPr>
        <w:t xml:space="preserve"> dentro de las entidades que integran la Comisión.</w:t>
      </w:r>
    </w:p>
    <w:p w14:paraId="6A99DBD7" w14:textId="77777777" w:rsidR="00F0799A" w:rsidRPr="00CF0FF7" w:rsidRDefault="00F0799A" w:rsidP="00F0799A">
      <w:pPr>
        <w:pStyle w:val="Prrafodelista"/>
        <w:spacing w:line="276" w:lineRule="auto"/>
        <w:ind w:left="0"/>
        <w:jc w:val="both"/>
        <w:rPr>
          <w:rFonts w:ascii="Arial" w:hAnsi="Arial" w:cs="Arial"/>
        </w:rPr>
      </w:pPr>
    </w:p>
    <w:p w14:paraId="1D0D1DC6" w14:textId="5241AC5B" w:rsidR="00CF0FF7" w:rsidRPr="00965D0F" w:rsidRDefault="00CF0FF7" w:rsidP="00965D0F">
      <w:pPr>
        <w:pStyle w:val="Prrafodelista"/>
        <w:numPr>
          <w:ilvl w:val="0"/>
          <w:numId w:val="3"/>
        </w:numPr>
        <w:spacing w:after="0" w:line="276" w:lineRule="auto"/>
        <w:jc w:val="both"/>
        <w:rPr>
          <w:rFonts w:ascii="Arial" w:hAnsi="Arial" w:cs="Arial"/>
          <w:b/>
          <w:bCs/>
        </w:rPr>
      </w:pPr>
      <w:r w:rsidRPr="00965D0F">
        <w:rPr>
          <w:rFonts w:ascii="Arial" w:hAnsi="Arial" w:cs="Arial"/>
          <w:b/>
          <w:bCs/>
        </w:rPr>
        <w:t>Observaciones frente al artículo 11 – Extensión de incentivos tributarios</w:t>
      </w:r>
    </w:p>
    <w:p w14:paraId="012FCF3C" w14:textId="77777777" w:rsidR="00EA254F" w:rsidRDefault="00EA254F" w:rsidP="00965D0F">
      <w:pPr>
        <w:spacing w:line="276" w:lineRule="auto"/>
        <w:jc w:val="both"/>
        <w:rPr>
          <w:rFonts w:ascii="Arial" w:hAnsi="Arial" w:cs="Arial"/>
        </w:rPr>
      </w:pPr>
    </w:p>
    <w:p w14:paraId="64B44AED" w14:textId="37E6406F" w:rsidR="00CF0FF7" w:rsidRDefault="00CF0FF7" w:rsidP="00965D0F">
      <w:pPr>
        <w:spacing w:line="276" w:lineRule="auto"/>
        <w:jc w:val="both"/>
        <w:rPr>
          <w:rFonts w:ascii="Arial" w:hAnsi="Arial" w:cs="Arial"/>
        </w:rPr>
      </w:pPr>
      <w:r w:rsidRPr="00CF0FF7">
        <w:rPr>
          <w:rFonts w:ascii="Arial" w:hAnsi="Arial" w:cs="Arial"/>
        </w:rPr>
        <w:t xml:space="preserve">El artículo 11 establece la extensión de los incentivos tributarios previstos en las </w:t>
      </w:r>
      <w:r w:rsidRPr="00CF0FF7">
        <w:rPr>
          <w:rFonts w:ascii="Arial" w:eastAsiaTheme="majorEastAsia" w:hAnsi="Arial" w:cs="Arial"/>
        </w:rPr>
        <w:t>Leyes 1715 de 2014 y 2099 de 2021</w:t>
      </w:r>
      <w:r w:rsidRPr="00CF0FF7">
        <w:rPr>
          <w:rFonts w:ascii="Arial" w:hAnsi="Arial" w:cs="Arial"/>
        </w:rPr>
        <w:t xml:space="preserve"> para proyectos asociados al hidrógeno de bajas emisiones y sus derivados.</w:t>
      </w:r>
      <w:r w:rsidR="00647DED">
        <w:rPr>
          <w:rFonts w:ascii="Arial" w:hAnsi="Arial" w:cs="Arial"/>
        </w:rPr>
        <w:t xml:space="preserve"> </w:t>
      </w:r>
      <w:r w:rsidRPr="00CF0FF7">
        <w:rPr>
          <w:rFonts w:ascii="Arial" w:hAnsi="Arial" w:cs="Arial"/>
        </w:rPr>
        <w:t xml:space="preserve">Al respecto, se considera pertinente precisar que dichos incentivos deberían aplicarse a </w:t>
      </w:r>
      <w:r w:rsidRPr="00CF0FF7">
        <w:rPr>
          <w:rFonts w:ascii="Arial" w:eastAsiaTheme="majorEastAsia" w:hAnsi="Arial" w:cs="Arial"/>
        </w:rPr>
        <w:t xml:space="preserve">proyectos asociados a derivados del hidrógeno </w:t>
      </w:r>
      <w:r w:rsidRPr="00CF0FF7">
        <w:rPr>
          <w:rFonts w:ascii="Arial" w:eastAsiaTheme="majorEastAsia" w:hAnsi="Arial" w:cs="Arial"/>
        </w:rPr>
        <w:lastRenderedPageBreak/>
        <w:t>cuando estos tengan un destino energético</w:t>
      </w:r>
      <w:r w:rsidRPr="00CF0FF7">
        <w:rPr>
          <w:rFonts w:ascii="Arial" w:hAnsi="Arial" w:cs="Arial"/>
        </w:rPr>
        <w:t>, en concordancia con el alcance de las mencionadas leyes.</w:t>
      </w:r>
    </w:p>
    <w:p w14:paraId="01A580CA" w14:textId="77777777" w:rsidR="00EA254F" w:rsidRPr="00CF0FF7" w:rsidRDefault="00EA254F" w:rsidP="00965D0F">
      <w:pPr>
        <w:spacing w:line="276" w:lineRule="auto"/>
        <w:jc w:val="both"/>
        <w:rPr>
          <w:rFonts w:ascii="Arial" w:hAnsi="Arial" w:cs="Arial"/>
        </w:rPr>
      </w:pPr>
    </w:p>
    <w:p w14:paraId="73AB48B3" w14:textId="77777777" w:rsidR="00CF0FF7" w:rsidRPr="00CF0FF7" w:rsidRDefault="00CF0FF7" w:rsidP="00965D0F">
      <w:pPr>
        <w:spacing w:line="276" w:lineRule="auto"/>
        <w:jc w:val="both"/>
        <w:rPr>
          <w:rFonts w:ascii="Arial" w:hAnsi="Arial" w:cs="Arial"/>
        </w:rPr>
      </w:pPr>
      <w:r w:rsidRPr="00CF0FF7">
        <w:rPr>
          <w:rFonts w:ascii="Arial" w:hAnsi="Arial" w:cs="Arial"/>
        </w:rPr>
        <w:t>De lo contrario, podría generarse una extensión de beneficios tributarios hacia actividades industriales o químicas que no se encuentran contempladas dentro del régimen de incentivos diseñado para promover fuentes energéticas renovables o no convencionales.</w:t>
      </w:r>
    </w:p>
    <w:p w14:paraId="0D10FCBB" w14:textId="31E3AC66" w:rsidR="00CF0FF7" w:rsidRPr="00CF0FF7" w:rsidRDefault="00CF0FF7" w:rsidP="00965D0F">
      <w:pPr>
        <w:spacing w:line="276" w:lineRule="auto"/>
        <w:jc w:val="both"/>
        <w:rPr>
          <w:rFonts w:ascii="Arial" w:hAnsi="Arial" w:cs="Arial"/>
        </w:rPr>
      </w:pPr>
    </w:p>
    <w:p w14:paraId="5FBC5598" w14:textId="08078DB1" w:rsidR="00CF0FF7" w:rsidRPr="00965D0F" w:rsidRDefault="00CF0FF7" w:rsidP="00965D0F">
      <w:pPr>
        <w:pStyle w:val="Prrafodelista"/>
        <w:numPr>
          <w:ilvl w:val="0"/>
          <w:numId w:val="3"/>
        </w:numPr>
        <w:spacing w:after="0" w:line="276" w:lineRule="auto"/>
        <w:jc w:val="both"/>
        <w:rPr>
          <w:rFonts w:ascii="Arial" w:hAnsi="Arial" w:cs="Arial"/>
          <w:b/>
          <w:bCs/>
        </w:rPr>
      </w:pPr>
      <w:r w:rsidRPr="00965D0F">
        <w:rPr>
          <w:rFonts w:ascii="Arial" w:hAnsi="Arial" w:cs="Arial"/>
          <w:b/>
          <w:bCs/>
        </w:rPr>
        <w:t>Observaciones frente al artículo 18 – Incentivos para fertilizantes sostenibles</w:t>
      </w:r>
    </w:p>
    <w:p w14:paraId="794CA313" w14:textId="77777777" w:rsidR="001364B9" w:rsidRDefault="001364B9" w:rsidP="00965D0F">
      <w:pPr>
        <w:spacing w:line="276" w:lineRule="auto"/>
        <w:jc w:val="both"/>
        <w:rPr>
          <w:rFonts w:ascii="Arial" w:hAnsi="Arial" w:cs="Arial"/>
        </w:rPr>
      </w:pPr>
    </w:p>
    <w:p w14:paraId="658818AC" w14:textId="77777777" w:rsidR="00072AA5" w:rsidRPr="00072AA5" w:rsidRDefault="00072AA5" w:rsidP="00072AA5">
      <w:pPr>
        <w:spacing w:line="276" w:lineRule="auto"/>
        <w:jc w:val="both"/>
        <w:rPr>
          <w:rFonts w:ascii="Arial" w:hAnsi="Arial" w:cs="Arial"/>
        </w:rPr>
      </w:pPr>
      <w:r w:rsidRPr="00072AA5">
        <w:rPr>
          <w:rFonts w:ascii="Arial" w:hAnsi="Arial" w:cs="Arial"/>
        </w:rPr>
        <w:t>El artículo 18 establece incentivos tributarios para fertilizantes producidos con hidrógeno de bajas emisiones, pero no define la entidad responsable de evaluar las solicitudes.</w:t>
      </w:r>
    </w:p>
    <w:p w14:paraId="312777A5" w14:textId="77777777" w:rsidR="00072AA5" w:rsidRPr="00072AA5" w:rsidRDefault="00072AA5" w:rsidP="00072AA5">
      <w:pPr>
        <w:spacing w:line="276" w:lineRule="auto"/>
        <w:jc w:val="both"/>
        <w:rPr>
          <w:rFonts w:ascii="Arial" w:hAnsi="Arial" w:cs="Arial"/>
        </w:rPr>
      </w:pPr>
    </w:p>
    <w:p w14:paraId="5225C3C4" w14:textId="77777777" w:rsidR="00072AA5" w:rsidRPr="00072AA5" w:rsidRDefault="00072AA5" w:rsidP="00072AA5">
      <w:pPr>
        <w:spacing w:line="276" w:lineRule="auto"/>
        <w:jc w:val="both"/>
        <w:rPr>
          <w:rFonts w:ascii="Arial" w:hAnsi="Arial" w:cs="Arial"/>
        </w:rPr>
      </w:pPr>
      <w:r w:rsidRPr="00072AA5">
        <w:rPr>
          <w:rFonts w:ascii="Arial" w:hAnsi="Arial" w:cs="Arial"/>
        </w:rPr>
        <w:t>Actualmente, la evaluación de proyectos que solicitan incentivos de la Ley 1715 es realizada por la UPME, cuyas competencias se circunscriben al sector energético.</w:t>
      </w:r>
    </w:p>
    <w:p w14:paraId="0DD41358" w14:textId="77777777" w:rsidR="00072AA5" w:rsidRPr="00072AA5" w:rsidRDefault="00072AA5" w:rsidP="00072AA5">
      <w:pPr>
        <w:spacing w:line="276" w:lineRule="auto"/>
        <w:jc w:val="both"/>
        <w:rPr>
          <w:rFonts w:ascii="Arial" w:hAnsi="Arial" w:cs="Arial"/>
        </w:rPr>
      </w:pPr>
    </w:p>
    <w:p w14:paraId="7CDA5581" w14:textId="1BF6C1FB" w:rsidR="0063775C" w:rsidRDefault="00072AA5" w:rsidP="00072AA5">
      <w:pPr>
        <w:spacing w:line="276" w:lineRule="auto"/>
        <w:jc w:val="both"/>
        <w:rPr>
          <w:rFonts w:ascii="Arial" w:hAnsi="Arial" w:cs="Arial"/>
        </w:rPr>
      </w:pPr>
      <w:r w:rsidRPr="00072AA5">
        <w:rPr>
          <w:rFonts w:ascii="Arial" w:hAnsi="Arial" w:cs="Arial"/>
        </w:rPr>
        <w:t>Por lo anterior, se recomienda que el proyecto habilite al Gobierno Nacional para definir mediante reglamentación la entidad o mecanismo responsable de evaluar estos proyectos.</w:t>
      </w:r>
    </w:p>
    <w:p w14:paraId="1C7A9BED" w14:textId="77777777" w:rsidR="00072AA5" w:rsidRPr="00965D0F" w:rsidRDefault="00072AA5" w:rsidP="00072AA5">
      <w:pPr>
        <w:spacing w:line="276" w:lineRule="auto"/>
        <w:jc w:val="both"/>
        <w:rPr>
          <w:rFonts w:ascii="Arial" w:hAnsi="Arial" w:cs="Arial"/>
        </w:rPr>
      </w:pPr>
    </w:p>
    <w:p w14:paraId="78F9B341" w14:textId="5FA9E52A" w:rsidR="00A657E8" w:rsidRPr="00A657E8" w:rsidRDefault="00A657E8" w:rsidP="00A657E8">
      <w:pPr>
        <w:pStyle w:val="Prrafodelista"/>
        <w:numPr>
          <w:ilvl w:val="0"/>
          <w:numId w:val="3"/>
        </w:numPr>
        <w:spacing w:line="276" w:lineRule="auto"/>
        <w:jc w:val="both"/>
        <w:outlineLvl w:val="2"/>
        <w:rPr>
          <w:rFonts w:ascii="Arial" w:hAnsi="Arial" w:cs="Arial"/>
          <w:b/>
          <w:bCs/>
        </w:rPr>
      </w:pPr>
      <w:r w:rsidRPr="00A657E8">
        <w:rPr>
          <w:rFonts w:ascii="Arial" w:hAnsi="Arial" w:cs="Arial"/>
          <w:b/>
          <w:bCs/>
        </w:rPr>
        <w:t>Observación frente al artículo 15 – Movilidad con hidrógeno</w:t>
      </w:r>
    </w:p>
    <w:p w14:paraId="3E7DEC89" w14:textId="275591E6" w:rsidR="003C1E2A" w:rsidRDefault="003C1E2A" w:rsidP="003C1E2A">
      <w:pPr>
        <w:spacing w:line="276" w:lineRule="auto"/>
        <w:jc w:val="both"/>
        <w:rPr>
          <w:rFonts w:ascii="Arial" w:hAnsi="Arial" w:cs="Arial"/>
        </w:rPr>
      </w:pPr>
      <w:r w:rsidRPr="003C1E2A">
        <w:rPr>
          <w:rFonts w:ascii="Arial" w:hAnsi="Arial" w:cs="Arial"/>
        </w:rPr>
        <w:t>El artículo 15 incorpora disposiciones para evaluar la inclusión del hidrógeno en programas de movilidad sostenible, lo cual se considera positivo.</w:t>
      </w:r>
      <w:r>
        <w:rPr>
          <w:rFonts w:ascii="Arial" w:hAnsi="Arial" w:cs="Arial"/>
        </w:rPr>
        <w:t xml:space="preserve"> </w:t>
      </w:r>
      <w:r w:rsidRPr="003C1E2A">
        <w:rPr>
          <w:rFonts w:ascii="Arial" w:hAnsi="Arial" w:cs="Arial"/>
        </w:rPr>
        <w:t>No obstante, se sugiere evaluar la inclusión de instrumentos de promoción o incentivos regulatorios, fiscales o arancelarios</w:t>
      </w:r>
      <w:r>
        <w:rPr>
          <w:rFonts w:ascii="Arial" w:hAnsi="Arial" w:cs="Arial"/>
        </w:rPr>
        <w:t>.</w:t>
      </w:r>
    </w:p>
    <w:p w14:paraId="3B639ED5" w14:textId="77777777" w:rsidR="003C1E2A" w:rsidRPr="00A657E8" w:rsidRDefault="003C1E2A" w:rsidP="003C1E2A">
      <w:pPr>
        <w:spacing w:line="276" w:lineRule="auto"/>
        <w:jc w:val="both"/>
        <w:rPr>
          <w:rFonts w:ascii="Arial" w:hAnsi="Arial" w:cs="Arial"/>
        </w:rPr>
      </w:pPr>
    </w:p>
    <w:p w14:paraId="14806325" w14:textId="77777777" w:rsidR="00A657E8" w:rsidRPr="00A657E8" w:rsidRDefault="00A657E8" w:rsidP="00A657E8">
      <w:pPr>
        <w:spacing w:line="276" w:lineRule="auto"/>
        <w:jc w:val="both"/>
        <w:rPr>
          <w:rFonts w:ascii="Arial" w:hAnsi="Arial" w:cs="Arial"/>
        </w:rPr>
      </w:pPr>
      <w:r w:rsidRPr="00A657E8">
        <w:rPr>
          <w:rFonts w:ascii="Arial" w:hAnsi="Arial" w:cs="Arial"/>
        </w:rPr>
        <w:t>Así mismo, se sugiere evaluar la conveniencia de incorporar lineamientos orientados al análisis y eventual regulación de procesos de conversión de vehículos a tecnologías que utilicen hidrógeno, incluyendo esquemas de certificación técnica y fortalecimiento de capacidades para talleres especializados, con el fin de garantizar condiciones adecuadas de seguridad y operación.</w:t>
      </w:r>
    </w:p>
    <w:p w14:paraId="19FE681E" w14:textId="77777777" w:rsidR="00344956" w:rsidRPr="00A657E8" w:rsidRDefault="00344956" w:rsidP="00A657E8">
      <w:pPr>
        <w:spacing w:line="276" w:lineRule="auto"/>
        <w:jc w:val="both"/>
        <w:rPr>
          <w:rFonts w:ascii="Arial" w:hAnsi="Arial" w:cs="Arial"/>
        </w:rPr>
      </w:pPr>
    </w:p>
    <w:p w14:paraId="0A9FC371" w14:textId="28D01651" w:rsidR="00A417C6" w:rsidRDefault="00B7532E" w:rsidP="00965D0F">
      <w:pPr>
        <w:spacing w:line="276" w:lineRule="auto"/>
        <w:jc w:val="both"/>
        <w:rPr>
          <w:rFonts w:ascii="Arial" w:eastAsiaTheme="majorEastAsia" w:hAnsi="Arial" w:cs="Arial"/>
        </w:rPr>
      </w:pPr>
      <w:r w:rsidRPr="00B7532E">
        <w:rPr>
          <w:rFonts w:ascii="Arial" w:eastAsiaTheme="majorEastAsia" w:hAnsi="Arial" w:cs="Arial"/>
        </w:rPr>
        <w:t>A continuación, se presentan las principales observaciones técnicas sobre el articulado del proyecto de ley, así como las recomendaciones de ajuste correspondientes.</w:t>
      </w:r>
    </w:p>
    <w:p w14:paraId="3CF98127" w14:textId="77777777" w:rsidR="00B7532E" w:rsidRPr="00965D0F" w:rsidRDefault="00B7532E" w:rsidP="00965D0F">
      <w:pPr>
        <w:spacing w:line="276" w:lineRule="auto"/>
        <w:jc w:val="both"/>
        <w:rPr>
          <w:rFonts w:ascii="Arial" w:hAnsi="Arial" w:cs="Arial"/>
        </w:rPr>
      </w:pPr>
    </w:p>
    <w:tbl>
      <w:tblPr>
        <w:tblStyle w:val="Tablaconcuadrcula"/>
        <w:tblW w:w="0" w:type="auto"/>
        <w:tblLook w:val="04A0" w:firstRow="1" w:lastRow="0" w:firstColumn="1" w:lastColumn="0" w:noHBand="0" w:noVBand="1"/>
      </w:tblPr>
      <w:tblGrid>
        <w:gridCol w:w="2388"/>
        <w:gridCol w:w="2243"/>
        <w:gridCol w:w="4197"/>
      </w:tblGrid>
      <w:tr w:rsidR="006D676B" w:rsidRPr="00EA254F" w14:paraId="4CE25ED9" w14:textId="77777777" w:rsidTr="00D35E78">
        <w:trPr>
          <w:tblHeader/>
        </w:trPr>
        <w:tc>
          <w:tcPr>
            <w:tcW w:w="0" w:type="auto"/>
            <w:hideMark/>
          </w:tcPr>
          <w:p w14:paraId="53159E19" w14:textId="77777777" w:rsidR="006D676B" w:rsidRPr="00EA254F" w:rsidRDefault="006D676B" w:rsidP="00D35E78">
            <w:pPr>
              <w:jc w:val="center"/>
              <w:rPr>
                <w:rFonts w:ascii="Arial" w:hAnsi="Arial" w:cs="Arial"/>
                <w:b/>
                <w:bCs/>
                <w:sz w:val="22"/>
                <w:szCs w:val="22"/>
              </w:rPr>
            </w:pPr>
            <w:r w:rsidRPr="00EA254F">
              <w:rPr>
                <w:rFonts w:ascii="Arial" w:hAnsi="Arial" w:cs="Arial"/>
                <w:b/>
                <w:bCs/>
                <w:sz w:val="22"/>
                <w:szCs w:val="22"/>
              </w:rPr>
              <w:lastRenderedPageBreak/>
              <w:t>Artículo / tema del proyecto</w:t>
            </w:r>
          </w:p>
        </w:tc>
        <w:tc>
          <w:tcPr>
            <w:tcW w:w="0" w:type="auto"/>
            <w:hideMark/>
          </w:tcPr>
          <w:p w14:paraId="7D09F703" w14:textId="77777777" w:rsidR="006D676B" w:rsidRPr="00EA254F" w:rsidRDefault="006D676B" w:rsidP="00D35E78">
            <w:pPr>
              <w:jc w:val="center"/>
              <w:rPr>
                <w:rFonts w:ascii="Arial" w:hAnsi="Arial" w:cs="Arial"/>
                <w:b/>
                <w:bCs/>
                <w:sz w:val="22"/>
                <w:szCs w:val="22"/>
              </w:rPr>
            </w:pPr>
            <w:r w:rsidRPr="00EA254F">
              <w:rPr>
                <w:rFonts w:ascii="Arial" w:hAnsi="Arial" w:cs="Arial"/>
                <w:b/>
                <w:bCs/>
                <w:sz w:val="22"/>
                <w:szCs w:val="22"/>
              </w:rPr>
              <w:t>Situación en el texto definitivo</w:t>
            </w:r>
          </w:p>
        </w:tc>
        <w:tc>
          <w:tcPr>
            <w:tcW w:w="0" w:type="auto"/>
            <w:hideMark/>
          </w:tcPr>
          <w:p w14:paraId="3DC515CE" w14:textId="77777777" w:rsidR="006D676B" w:rsidRPr="00EA254F" w:rsidRDefault="006D676B" w:rsidP="00D35E78">
            <w:pPr>
              <w:jc w:val="center"/>
              <w:rPr>
                <w:rFonts w:ascii="Arial" w:hAnsi="Arial" w:cs="Arial"/>
                <w:b/>
                <w:bCs/>
                <w:sz w:val="22"/>
                <w:szCs w:val="22"/>
              </w:rPr>
            </w:pPr>
            <w:r w:rsidRPr="00EA254F">
              <w:rPr>
                <w:rFonts w:ascii="Arial" w:hAnsi="Arial" w:cs="Arial"/>
                <w:b/>
                <w:bCs/>
                <w:sz w:val="22"/>
                <w:szCs w:val="22"/>
              </w:rPr>
              <w:t>Observación técnica del MME</w:t>
            </w:r>
          </w:p>
        </w:tc>
      </w:tr>
      <w:tr w:rsidR="006D676B" w:rsidRPr="00EA254F" w14:paraId="08E56114" w14:textId="77777777" w:rsidTr="00073733">
        <w:tc>
          <w:tcPr>
            <w:tcW w:w="0" w:type="auto"/>
            <w:hideMark/>
          </w:tcPr>
          <w:p w14:paraId="235D819A" w14:textId="77777777" w:rsidR="006D676B" w:rsidRPr="00EA254F" w:rsidRDefault="006D676B" w:rsidP="005166A3">
            <w:pPr>
              <w:jc w:val="both"/>
              <w:rPr>
                <w:rFonts w:ascii="Arial" w:hAnsi="Arial" w:cs="Arial"/>
                <w:sz w:val="22"/>
                <w:szCs w:val="22"/>
              </w:rPr>
            </w:pPr>
            <w:r w:rsidRPr="00EA254F">
              <w:rPr>
                <w:rStyle w:val="Fuerte"/>
                <w:rFonts w:ascii="Arial" w:eastAsiaTheme="majorEastAsia" w:hAnsi="Arial" w:cs="Arial"/>
                <w:sz w:val="22"/>
                <w:szCs w:val="22"/>
              </w:rPr>
              <w:t>Definiciones</w:t>
            </w:r>
          </w:p>
        </w:tc>
        <w:tc>
          <w:tcPr>
            <w:tcW w:w="0" w:type="auto"/>
            <w:hideMark/>
          </w:tcPr>
          <w:p w14:paraId="5441BE67" w14:textId="77777777" w:rsidR="006D676B" w:rsidRPr="00EA254F" w:rsidRDefault="006D676B" w:rsidP="005166A3">
            <w:pPr>
              <w:jc w:val="both"/>
              <w:rPr>
                <w:rFonts w:ascii="Arial" w:hAnsi="Arial" w:cs="Arial"/>
                <w:sz w:val="22"/>
                <w:szCs w:val="22"/>
              </w:rPr>
            </w:pPr>
            <w:r w:rsidRPr="00EA254F">
              <w:rPr>
                <w:rFonts w:ascii="Arial" w:hAnsi="Arial" w:cs="Arial"/>
                <w:sz w:val="22"/>
                <w:szCs w:val="22"/>
              </w:rPr>
              <w:t>El proyecto mantiene definiciones energéticas dentro del articulado.</w:t>
            </w:r>
          </w:p>
        </w:tc>
        <w:tc>
          <w:tcPr>
            <w:tcW w:w="0" w:type="auto"/>
            <w:hideMark/>
          </w:tcPr>
          <w:p w14:paraId="6396EC2C" w14:textId="77777777" w:rsidR="006D676B" w:rsidRPr="00EA254F" w:rsidRDefault="006D676B" w:rsidP="005166A3">
            <w:pPr>
              <w:jc w:val="both"/>
              <w:rPr>
                <w:rFonts w:ascii="Arial" w:hAnsi="Arial" w:cs="Arial"/>
                <w:sz w:val="22"/>
                <w:szCs w:val="22"/>
              </w:rPr>
            </w:pPr>
            <w:r w:rsidRPr="00EA254F">
              <w:rPr>
                <w:rFonts w:ascii="Arial" w:hAnsi="Arial" w:cs="Arial"/>
                <w:sz w:val="22"/>
                <w:szCs w:val="22"/>
              </w:rPr>
              <w:t>Se recomienda remitir expresamente a las definiciones existentes en la Ley 1715 de 2014 y sus modificaciones para evitar duplicidades normativas o inconsistencias conceptuales.</w:t>
            </w:r>
          </w:p>
          <w:p w14:paraId="098F1D5B" w14:textId="77777777" w:rsidR="006D676B" w:rsidRPr="00EA254F" w:rsidRDefault="006D676B" w:rsidP="005166A3">
            <w:pPr>
              <w:jc w:val="both"/>
              <w:rPr>
                <w:rFonts w:ascii="Arial" w:hAnsi="Arial" w:cs="Arial"/>
                <w:sz w:val="22"/>
                <w:szCs w:val="22"/>
              </w:rPr>
            </w:pPr>
          </w:p>
          <w:p w14:paraId="6A224E42" w14:textId="4D8CD61C" w:rsidR="006D676B" w:rsidRDefault="006D676B" w:rsidP="005166A3">
            <w:pPr>
              <w:pStyle w:val="p1"/>
              <w:jc w:val="both"/>
              <w:rPr>
                <w:rFonts w:ascii="Arial" w:hAnsi="Arial" w:cs="Arial"/>
                <w:color w:val="auto"/>
                <w:sz w:val="22"/>
                <w:szCs w:val="22"/>
              </w:rPr>
            </w:pPr>
            <w:r w:rsidRPr="00EA254F">
              <w:rPr>
                <w:rFonts w:ascii="Arial" w:hAnsi="Arial" w:cs="Arial"/>
                <w:color w:val="auto"/>
                <w:sz w:val="22"/>
                <w:szCs w:val="22"/>
              </w:rPr>
              <w:t xml:space="preserve">Se recomienda modificar la definición de </w:t>
            </w:r>
            <w:r w:rsidRPr="00EA254F">
              <w:rPr>
                <w:rFonts w:ascii="Arial" w:hAnsi="Arial" w:cs="Arial"/>
                <w:color w:val="auto"/>
                <w:sz w:val="22"/>
                <w:szCs w:val="22"/>
              </w:rPr>
              <w:t>Agente de la Cadena de Valor del Hidrógeno</w:t>
            </w:r>
            <w:r w:rsidRPr="00EA254F">
              <w:rPr>
                <w:rFonts w:ascii="Arial" w:hAnsi="Arial" w:cs="Arial"/>
                <w:color w:val="auto"/>
                <w:sz w:val="22"/>
                <w:szCs w:val="22"/>
              </w:rPr>
              <w:t>,</w:t>
            </w:r>
            <w:r>
              <w:rPr>
                <w:rFonts w:ascii="Arial" w:hAnsi="Arial" w:cs="Arial"/>
                <w:color w:val="auto"/>
                <w:sz w:val="22"/>
                <w:szCs w:val="22"/>
              </w:rPr>
              <w:t xml:space="preserve"> considerando la inclusión de una actividad asociada a la transformación de la molécula de hidrógeno</w:t>
            </w:r>
            <w:r w:rsidRPr="00EA254F">
              <w:rPr>
                <w:rFonts w:ascii="Arial" w:hAnsi="Arial" w:cs="Arial"/>
                <w:color w:val="auto"/>
                <w:sz w:val="22"/>
                <w:szCs w:val="22"/>
              </w:rPr>
              <w:t xml:space="preserve"> </w:t>
            </w:r>
            <w:r>
              <w:rPr>
                <w:rFonts w:ascii="Arial" w:hAnsi="Arial" w:cs="Arial"/>
                <w:color w:val="auto"/>
                <w:sz w:val="22"/>
                <w:szCs w:val="22"/>
              </w:rPr>
              <w:t xml:space="preserve">en cualquier derivado, </w:t>
            </w:r>
            <w:r w:rsidRPr="00EA254F">
              <w:rPr>
                <w:rFonts w:ascii="Arial" w:hAnsi="Arial" w:cs="Arial"/>
                <w:color w:val="auto"/>
                <w:sz w:val="22"/>
                <w:szCs w:val="22"/>
              </w:rPr>
              <w:t>así:</w:t>
            </w:r>
          </w:p>
          <w:p w14:paraId="44099786" w14:textId="77777777" w:rsidR="006D676B" w:rsidRPr="00EA254F" w:rsidRDefault="006D676B" w:rsidP="005166A3">
            <w:pPr>
              <w:pStyle w:val="p1"/>
              <w:jc w:val="both"/>
              <w:rPr>
                <w:rFonts w:ascii="Arial" w:hAnsi="Arial" w:cs="Arial"/>
                <w:color w:val="auto"/>
                <w:sz w:val="22"/>
                <w:szCs w:val="22"/>
              </w:rPr>
            </w:pPr>
          </w:p>
          <w:p w14:paraId="41213A41" w14:textId="77777777" w:rsidR="006D676B" w:rsidRPr="00EA254F" w:rsidRDefault="006D676B" w:rsidP="005166A3">
            <w:pPr>
              <w:pStyle w:val="p1"/>
              <w:jc w:val="both"/>
              <w:rPr>
                <w:rFonts w:ascii="Arial" w:hAnsi="Arial" w:cs="Arial"/>
                <w:color w:val="auto"/>
                <w:sz w:val="22"/>
                <w:szCs w:val="22"/>
              </w:rPr>
            </w:pPr>
            <w:r w:rsidRPr="00EA254F">
              <w:rPr>
                <w:rFonts w:ascii="Arial" w:hAnsi="Arial" w:cs="Arial"/>
                <w:color w:val="auto"/>
                <w:sz w:val="22"/>
                <w:szCs w:val="22"/>
              </w:rPr>
              <w:t>Persona natural o jurídica que realiza una o</w:t>
            </w:r>
          </w:p>
          <w:p w14:paraId="32C4A841" w14:textId="77777777" w:rsidR="006D676B" w:rsidRPr="00EA254F" w:rsidRDefault="006D676B" w:rsidP="005166A3">
            <w:pPr>
              <w:pStyle w:val="p1"/>
              <w:jc w:val="both"/>
              <w:rPr>
                <w:rFonts w:ascii="Arial" w:hAnsi="Arial" w:cs="Arial"/>
                <w:color w:val="auto"/>
                <w:sz w:val="22"/>
                <w:szCs w:val="22"/>
              </w:rPr>
            </w:pPr>
            <w:r w:rsidRPr="00EA254F">
              <w:rPr>
                <w:rFonts w:ascii="Arial" w:hAnsi="Arial" w:cs="Arial"/>
                <w:color w:val="auto"/>
                <w:sz w:val="22"/>
                <w:szCs w:val="22"/>
              </w:rPr>
              <w:t>varias de las siguientes actividades: producción,</w:t>
            </w:r>
          </w:p>
          <w:p w14:paraId="1BCC54FE" w14:textId="2905C4BD" w:rsidR="006D676B" w:rsidRPr="005166A3" w:rsidRDefault="006D676B" w:rsidP="005166A3">
            <w:pPr>
              <w:pStyle w:val="p1"/>
              <w:jc w:val="both"/>
              <w:rPr>
                <w:rFonts w:ascii="Arial" w:hAnsi="Arial" w:cs="Arial"/>
                <w:color w:val="auto"/>
                <w:sz w:val="22"/>
                <w:szCs w:val="22"/>
              </w:rPr>
            </w:pPr>
            <w:r w:rsidRPr="00EA254F">
              <w:rPr>
                <w:rFonts w:ascii="Arial" w:hAnsi="Arial" w:cs="Arial"/>
                <w:color w:val="auto"/>
                <w:sz w:val="22"/>
                <w:szCs w:val="22"/>
              </w:rPr>
              <w:t>almacenamiento,</w:t>
            </w:r>
            <w:r>
              <w:rPr>
                <w:rFonts w:ascii="Arial" w:hAnsi="Arial" w:cs="Arial"/>
                <w:color w:val="auto"/>
                <w:sz w:val="22"/>
                <w:szCs w:val="22"/>
              </w:rPr>
              <w:t xml:space="preserve"> </w:t>
            </w:r>
            <w:r w:rsidRPr="00EA254F">
              <w:rPr>
                <w:rFonts w:ascii="Arial" w:hAnsi="Arial" w:cs="Arial"/>
                <w:color w:val="auto"/>
                <w:sz w:val="22"/>
                <w:szCs w:val="22"/>
                <w:highlight w:val="yellow"/>
              </w:rPr>
              <w:t>transformación</w:t>
            </w:r>
            <w:r w:rsidRPr="00EA254F">
              <w:rPr>
                <w:rFonts w:ascii="Arial" w:hAnsi="Arial" w:cs="Arial"/>
                <w:color w:val="auto"/>
                <w:sz w:val="22"/>
                <w:szCs w:val="22"/>
              </w:rPr>
              <w:t>,</w:t>
            </w:r>
            <w:r>
              <w:rPr>
                <w:rFonts w:ascii="Arial" w:hAnsi="Arial" w:cs="Arial"/>
                <w:color w:val="auto"/>
                <w:sz w:val="22"/>
                <w:szCs w:val="22"/>
              </w:rPr>
              <w:t xml:space="preserve"> </w:t>
            </w:r>
            <w:r w:rsidRPr="00EA254F">
              <w:rPr>
                <w:rFonts w:ascii="Arial" w:hAnsi="Arial" w:cs="Arial"/>
                <w:color w:val="auto"/>
                <w:sz w:val="22"/>
                <w:szCs w:val="22"/>
              </w:rPr>
              <w:t>acondicionamiento, transporte,</w:t>
            </w:r>
            <w:r>
              <w:rPr>
                <w:rFonts w:ascii="Arial" w:hAnsi="Arial" w:cs="Arial"/>
                <w:color w:val="auto"/>
                <w:sz w:val="22"/>
                <w:szCs w:val="22"/>
              </w:rPr>
              <w:t xml:space="preserve"> </w:t>
            </w:r>
            <w:r w:rsidRPr="00EA254F">
              <w:rPr>
                <w:rFonts w:ascii="Arial" w:hAnsi="Arial" w:cs="Arial"/>
                <w:color w:val="auto"/>
                <w:sz w:val="22"/>
                <w:szCs w:val="22"/>
              </w:rPr>
              <w:t>distribución, comercialización,</w:t>
            </w:r>
            <w:r>
              <w:rPr>
                <w:rFonts w:ascii="Arial" w:hAnsi="Arial" w:cs="Arial"/>
                <w:color w:val="auto"/>
                <w:sz w:val="22"/>
                <w:szCs w:val="22"/>
              </w:rPr>
              <w:t xml:space="preserve"> </w:t>
            </w:r>
            <w:r w:rsidRPr="00EA254F">
              <w:rPr>
                <w:rFonts w:ascii="Arial" w:hAnsi="Arial" w:cs="Arial"/>
                <w:color w:val="auto"/>
                <w:sz w:val="22"/>
                <w:szCs w:val="22"/>
              </w:rPr>
              <w:t>desarrollo</w:t>
            </w:r>
            <w:r>
              <w:rPr>
                <w:rFonts w:ascii="Arial" w:hAnsi="Arial" w:cs="Arial"/>
                <w:color w:val="auto"/>
                <w:sz w:val="22"/>
                <w:szCs w:val="22"/>
              </w:rPr>
              <w:t xml:space="preserve"> </w:t>
            </w:r>
            <w:r w:rsidRPr="00EA254F">
              <w:rPr>
                <w:rFonts w:ascii="Arial" w:hAnsi="Arial" w:cs="Arial"/>
                <w:color w:val="auto"/>
                <w:sz w:val="22"/>
                <w:szCs w:val="22"/>
              </w:rPr>
              <w:t>tecnológico o uso final del hidrógeno y/o derivados</w:t>
            </w:r>
            <w:r>
              <w:rPr>
                <w:rFonts w:ascii="Arial" w:hAnsi="Arial" w:cs="Arial"/>
                <w:color w:val="auto"/>
                <w:sz w:val="22"/>
                <w:szCs w:val="22"/>
              </w:rPr>
              <w:t xml:space="preserve"> </w:t>
            </w:r>
            <w:r w:rsidRPr="00EA254F">
              <w:rPr>
                <w:rFonts w:ascii="Arial" w:hAnsi="Arial" w:cs="Arial"/>
                <w:color w:val="auto"/>
                <w:sz w:val="22"/>
                <w:szCs w:val="22"/>
              </w:rPr>
              <w:t>del hidrógeno en el territorio nacional.</w:t>
            </w:r>
          </w:p>
        </w:tc>
      </w:tr>
      <w:tr w:rsidR="006D676B" w:rsidRPr="00EA254F" w14:paraId="1CA8BE34" w14:textId="77777777" w:rsidTr="00073733">
        <w:tc>
          <w:tcPr>
            <w:tcW w:w="0" w:type="auto"/>
            <w:hideMark/>
          </w:tcPr>
          <w:p w14:paraId="62C9F6B5" w14:textId="77777777" w:rsidR="006D676B" w:rsidRPr="00EA254F" w:rsidRDefault="006D676B" w:rsidP="005166A3">
            <w:pPr>
              <w:jc w:val="both"/>
              <w:rPr>
                <w:rFonts w:ascii="Arial" w:hAnsi="Arial" w:cs="Arial"/>
                <w:sz w:val="22"/>
                <w:szCs w:val="22"/>
              </w:rPr>
            </w:pPr>
            <w:r w:rsidRPr="00EA254F">
              <w:rPr>
                <w:rStyle w:val="Fuerte"/>
                <w:rFonts w:ascii="Arial" w:eastAsiaTheme="majorEastAsia" w:hAnsi="Arial" w:cs="Arial"/>
                <w:sz w:val="22"/>
                <w:szCs w:val="22"/>
              </w:rPr>
              <w:t>Artículo 3 – Reconocimiento del hidrógeno de bajas emisiones</w:t>
            </w:r>
          </w:p>
        </w:tc>
        <w:tc>
          <w:tcPr>
            <w:tcW w:w="0" w:type="auto"/>
            <w:hideMark/>
          </w:tcPr>
          <w:p w14:paraId="20B786E3" w14:textId="77777777" w:rsidR="006D676B" w:rsidRPr="00EA254F" w:rsidRDefault="006D676B" w:rsidP="005166A3">
            <w:pPr>
              <w:jc w:val="both"/>
              <w:rPr>
                <w:rFonts w:ascii="Arial" w:hAnsi="Arial" w:cs="Arial"/>
                <w:sz w:val="22"/>
                <w:szCs w:val="22"/>
              </w:rPr>
            </w:pPr>
            <w:r w:rsidRPr="00EA254F">
              <w:rPr>
                <w:rFonts w:ascii="Arial" w:hAnsi="Arial" w:cs="Arial"/>
                <w:sz w:val="22"/>
                <w:szCs w:val="22"/>
              </w:rPr>
              <w:t>El artículo reconoce el hidrógeno y sus derivados sin limitar explícitamente su uso energético.</w:t>
            </w:r>
          </w:p>
        </w:tc>
        <w:tc>
          <w:tcPr>
            <w:tcW w:w="0" w:type="auto"/>
            <w:hideMark/>
          </w:tcPr>
          <w:p w14:paraId="51510A51" w14:textId="77777777" w:rsidR="006D676B" w:rsidRDefault="006D676B" w:rsidP="005166A3">
            <w:pPr>
              <w:jc w:val="both"/>
              <w:rPr>
                <w:rFonts w:ascii="Arial" w:hAnsi="Arial" w:cs="Arial"/>
                <w:sz w:val="22"/>
                <w:szCs w:val="22"/>
              </w:rPr>
            </w:pPr>
            <w:r w:rsidRPr="00EA254F">
              <w:rPr>
                <w:rFonts w:ascii="Arial" w:hAnsi="Arial" w:cs="Arial"/>
                <w:sz w:val="22"/>
                <w:szCs w:val="22"/>
              </w:rPr>
              <w:t>La redacción podría extender el alcance de la Ley 1715 a usos industriales o químicos. Se recomienda incluir la precisión “cuando tengan fines energéticos”.</w:t>
            </w:r>
          </w:p>
          <w:p w14:paraId="0D68758F" w14:textId="77777777" w:rsidR="006D676B" w:rsidRDefault="006D676B" w:rsidP="005166A3">
            <w:pPr>
              <w:jc w:val="both"/>
              <w:rPr>
                <w:rFonts w:ascii="Arial" w:hAnsi="Arial" w:cs="Arial"/>
                <w:sz w:val="22"/>
                <w:szCs w:val="22"/>
              </w:rPr>
            </w:pPr>
          </w:p>
          <w:p w14:paraId="7B1B1B3F" w14:textId="7A6D59E3" w:rsidR="006D676B" w:rsidRDefault="006D676B" w:rsidP="005166A3">
            <w:pPr>
              <w:jc w:val="both"/>
              <w:rPr>
                <w:rFonts w:ascii="Arial" w:hAnsi="Arial" w:cs="Arial"/>
                <w:sz w:val="22"/>
                <w:szCs w:val="22"/>
              </w:rPr>
            </w:pPr>
            <w:r>
              <w:rPr>
                <w:rFonts w:ascii="Arial" w:hAnsi="Arial" w:cs="Arial"/>
                <w:sz w:val="22"/>
                <w:szCs w:val="22"/>
              </w:rPr>
              <w:t>También se recomienda dejar especificado en el proyecto de Ley que el hidrógeno de bajas emisiones será considerado una FNCE.</w:t>
            </w:r>
          </w:p>
          <w:p w14:paraId="4B1DAC7D" w14:textId="77777777" w:rsidR="006D676B" w:rsidRDefault="006D676B" w:rsidP="005166A3">
            <w:pPr>
              <w:jc w:val="both"/>
              <w:rPr>
                <w:rFonts w:ascii="Arial" w:hAnsi="Arial" w:cs="Arial"/>
                <w:sz w:val="22"/>
                <w:szCs w:val="22"/>
              </w:rPr>
            </w:pPr>
          </w:p>
          <w:p w14:paraId="4234EDDD" w14:textId="76630AF3" w:rsidR="006D676B" w:rsidRPr="003856E7" w:rsidRDefault="006D676B" w:rsidP="005166A3">
            <w:pPr>
              <w:pStyle w:val="NormalWeb"/>
              <w:spacing w:before="0" w:beforeAutospacing="0" w:after="0" w:afterAutospacing="0"/>
              <w:jc w:val="both"/>
              <w:rPr>
                <w:rFonts w:ascii="Arial" w:hAnsi="Arial" w:cs="Arial"/>
                <w:sz w:val="22"/>
                <w:szCs w:val="22"/>
              </w:rPr>
            </w:pPr>
            <w:proofErr w:type="spellStart"/>
            <w:r w:rsidRPr="003856E7">
              <w:rPr>
                <w:rFonts w:ascii="Arial" w:hAnsi="Arial" w:cs="Arial"/>
                <w:sz w:val="22"/>
                <w:szCs w:val="22"/>
              </w:rPr>
              <w:t>A</w:t>
            </w:r>
            <w:proofErr w:type="spellEnd"/>
            <w:r w:rsidRPr="003856E7">
              <w:rPr>
                <w:rFonts w:ascii="Arial" w:hAnsi="Arial" w:cs="Arial"/>
                <w:sz w:val="22"/>
                <w:szCs w:val="22"/>
              </w:rPr>
              <w:t xml:space="preserve">dicionalmente, se recomienda precisar en </w:t>
            </w:r>
            <w:r>
              <w:rPr>
                <w:rFonts w:ascii="Arial" w:hAnsi="Arial" w:cs="Arial"/>
                <w:sz w:val="22"/>
                <w:szCs w:val="22"/>
              </w:rPr>
              <w:t xml:space="preserve">la definición </w:t>
            </w:r>
            <w:r w:rsidRPr="00461EDC">
              <w:rPr>
                <w:rFonts w:ascii="Arial" w:hAnsi="Arial" w:cs="Arial"/>
                <w:b/>
                <w:bCs/>
                <w:sz w:val="22"/>
                <w:szCs w:val="22"/>
              </w:rPr>
              <w:t>27. Hidrógeno de bajas emisiones</w:t>
            </w:r>
            <w:r w:rsidRPr="003856E7">
              <w:rPr>
                <w:rFonts w:ascii="Arial" w:hAnsi="Arial" w:cs="Arial"/>
                <w:sz w:val="22"/>
                <w:szCs w:val="22"/>
              </w:rPr>
              <w:t xml:space="preserve"> que, si bien el hidrógeno verde no estaría sujeto al cumplimiento de los umbrales de emisiones establecidos en el presente artículo, los proyectos asociados deberán dar cumplimiento a las condiciones y requisitos establecidos en la normativa vigente aplicable a los proyectos de hidrógeno verde.</w:t>
            </w:r>
          </w:p>
          <w:p w14:paraId="39BB839E" w14:textId="77777777" w:rsidR="006D676B" w:rsidRDefault="006D676B" w:rsidP="005166A3">
            <w:pPr>
              <w:pStyle w:val="NormalWeb"/>
              <w:spacing w:before="0" w:beforeAutospacing="0" w:after="0" w:afterAutospacing="0"/>
              <w:rPr>
                <w:rFonts w:ascii="Arial" w:hAnsi="Arial" w:cs="Arial"/>
                <w:b/>
                <w:bCs/>
                <w:sz w:val="22"/>
                <w:szCs w:val="22"/>
              </w:rPr>
            </w:pPr>
          </w:p>
          <w:p w14:paraId="03960716" w14:textId="2781CDA9" w:rsidR="006D676B" w:rsidRPr="003856E7" w:rsidRDefault="006D676B" w:rsidP="005166A3">
            <w:pPr>
              <w:pStyle w:val="NormalWeb"/>
              <w:spacing w:before="0" w:beforeAutospacing="0" w:after="0" w:afterAutospacing="0"/>
              <w:rPr>
                <w:rFonts w:ascii="Arial" w:hAnsi="Arial" w:cs="Arial"/>
                <w:sz w:val="22"/>
                <w:szCs w:val="22"/>
              </w:rPr>
            </w:pPr>
            <w:r w:rsidRPr="003856E7">
              <w:rPr>
                <w:rFonts w:ascii="Arial" w:hAnsi="Arial" w:cs="Arial"/>
                <w:b/>
                <w:bCs/>
                <w:sz w:val="22"/>
                <w:szCs w:val="22"/>
              </w:rPr>
              <w:t>Redacción sugerida:</w:t>
            </w:r>
          </w:p>
          <w:p w14:paraId="3911E0DA" w14:textId="47266873" w:rsidR="006D676B" w:rsidRPr="00601C2B" w:rsidRDefault="006D676B" w:rsidP="005166A3">
            <w:pPr>
              <w:pStyle w:val="NormalWeb"/>
              <w:spacing w:after="0" w:afterAutospacing="0"/>
              <w:jc w:val="both"/>
              <w:rPr>
                <w:rFonts w:ascii="Arial" w:hAnsi="Arial" w:cs="Arial"/>
                <w:sz w:val="22"/>
                <w:szCs w:val="22"/>
              </w:rPr>
            </w:pPr>
            <w:r w:rsidRPr="00601C2B">
              <w:rPr>
                <w:rFonts w:ascii="Arial" w:hAnsi="Arial" w:cs="Arial"/>
                <w:sz w:val="22"/>
                <w:szCs w:val="22"/>
              </w:rPr>
              <w:lastRenderedPageBreak/>
              <w:t>El hidrógeno verde definido en el artículo 5° de la Ley 1715 de 2014, modificado por la Ley 2099 de 2021 y la Ley 2294 de 2023 o la norma que lo modifique, sustituya o derogue, y sus derivados, por su naturaleza de producción a partir de fuentes renovables sin generación significativa de emisiones de carbono, se consideran inherentemente de bajas emisiones y, por tanto, no estarán sujetos al cumplimiento de los umbrales establecidos en el presente artículo.</w:t>
            </w:r>
          </w:p>
          <w:p w14:paraId="7C1BEC52" w14:textId="77777777" w:rsidR="006D676B" w:rsidRPr="00E159DB" w:rsidRDefault="006D676B" w:rsidP="005166A3">
            <w:pPr>
              <w:pStyle w:val="NormalWeb"/>
              <w:jc w:val="both"/>
              <w:rPr>
                <w:rStyle w:val="Fuerte"/>
                <w:rFonts w:ascii="Arial" w:eastAsiaTheme="majorEastAsia" w:hAnsi="Arial" w:cs="Arial"/>
                <w:b w:val="0"/>
                <w:bCs w:val="0"/>
                <w:sz w:val="22"/>
                <w:szCs w:val="22"/>
                <w:highlight w:val="yellow"/>
              </w:rPr>
            </w:pPr>
            <w:r w:rsidRPr="00601C2B">
              <w:rPr>
                <w:rStyle w:val="Fuerte"/>
                <w:rFonts w:ascii="Arial" w:eastAsiaTheme="majorEastAsia" w:hAnsi="Arial" w:cs="Arial"/>
                <w:b w:val="0"/>
                <w:bCs w:val="0"/>
                <w:sz w:val="22"/>
                <w:szCs w:val="22"/>
                <w:highlight w:val="yellow"/>
              </w:rPr>
              <w:t xml:space="preserve">Lo anterior, sin perjuicio del cumplimiento de las condiciones y requisitos establecidos en la normativa vigente aplicable a los proyectos de hidrógeno verde, en particular lo dispuesto en el Decreto 1597 de 2024 o las normas que lo modifiquen, </w:t>
            </w:r>
            <w:r w:rsidRPr="00E159DB">
              <w:rPr>
                <w:rStyle w:val="Fuerte"/>
                <w:rFonts w:ascii="Arial" w:eastAsiaTheme="majorEastAsia" w:hAnsi="Arial" w:cs="Arial"/>
                <w:b w:val="0"/>
                <w:bCs w:val="0"/>
                <w:sz w:val="22"/>
                <w:szCs w:val="22"/>
                <w:highlight w:val="yellow"/>
              </w:rPr>
              <w:t>adicionen o sustituyan.</w:t>
            </w:r>
          </w:p>
          <w:p w14:paraId="15D4B822" w14:textId="3EC8F424" w:rsidR="006D676B" w:rsidRPr="00EA254F" w:rsidRDefault="006D676B" w:rsidP="005166A3">
            <w:pPr>
              <w:pStyle w:val="NormalWeb"/>
              <w:jc w:val="both"/>
              <w:rPr>
                <w:rFonts w:ascii="Arial" w:hAnsi="Arial" w:cs="Arial"/>
                <w:sz w:val="22"/>
                <w:szCs w:val="22"/>
              </w:rPr>
            </w:pPr>
            <w:r w:rsidRPr="00E159DB">
              <w:rPr>
                <w:rFonts w:ascii="Arial" w:hAnsi="Arial" w:cs="Arial"/>
                <w:sz w:val="22"/>
                <w:szCs w:val="22"/>
                <w:highlight w:val="yellow"/>
              </w:rPr>
              <w:t xml:space="preserve">El hidrógeno de bajas emisiones será considerado </w:t>
            </w:r>
            <w:r w:rsidRPr="00C55158">
              <w:rPr>
                <w:rFonts w:ascii="Arial" w:hAnsi="Arial" w:cs="Arial"/>
                <w:sz w:val="22"/>
                <w:szCs w:val="22"/>
                <w:highlight w:val="yellow"/>
              </w:rPr>
              <w:t>una fuente no convencional de energía (FNCE).</w:t>
            </w:r>
          </w:p>
        </w:tc>
      </w:tr>
      <w:tr w:rsidR="006D676B" w:rsidRPr="00EA254F" w14:paraId="771798F6" w14:textId="77777777" w:rsidTr="00073733">
        <w:tc>
          <w:tcPr>
            <w:tcW w:w="0" w:type="auto"/>
          </w:tcPr>
          <w:p w14:paraId="20843655" w14:textId="5259B7F9" w:rsidR="006D676B" w:rsidRPr="00EA254F" w:rsidRDefault="006D676B" w:rsidP="005166A3">
            <w:pPr>
              <w:jc w:val="both"/>
              <w:rPr>
                <w:rStyle w:val="Fuerte"/>
                <w:rFonts w:ascii="Arial" w:eastAsiaTheme="majorEastAsia" w:hAnsi="Arial" w:cs="Arial"/>
                <w:sz w:val="22"/>
                <w:szCs w:val="22"/>
              </w:rPr>
            </w:pPr>
            <w:r>
              <w:rPr>
                <w:rFonts w:ascii="Arial" w:eastAsiaTheme="majorEastAsia" w:hAnsi="Arial" w:cs="Arial"/>
                <w:b/>
                <w:bCs/>
                <w:sz w:val="22"/>
                <w:szCs w:val="22"/>
              </w:rPr>
              <w:lastRenderedPageBreak/>
              <w:t>A</w:t>
            </w:r>
            <w:r w:rsidRPr="00FD28FE">
              <w:rPr>
                <w:rFonts w:ascii="Arial" w:eastAsiaTheme="majorEastAsia" w:hAnsi="Arial" w:cs="Arial"/>
                <w:b/>
                <w:bCs/>
                <w:sz w:val="22"/>
                <w:szCs w:val="22"/>
              </w:rPr>
              <w:t>rtículo 8 – Comisión Técnica Intersectorial para la Gobernanza del Hidrógeno</w:t>
            </w:r>
          </w:p>
        </w:tc>
        <w:tc>
          <w:tcPr>
            <w:tcW w:w="0" w:type="auto"/>
          </w:tcPr>
          <w:p w14:paraId="28652211" w14:textId="48C4549F" w:rsidR="006D676B" w:rsidRPr="00EA254F" w:rsidRDefault="006D676B" w:rsidP="005166A3">
            <w:pPr>
              <w:jc w:val="both"/>
              <w:rPr>
                <w:rFonts w:ascii="Arial" w:hAnsi="Arial" w:cs="Arial"/>
                <w:sz w:val="22"/>
                <w:szCs w:val="22"/>
              </w:rPr>
            </w:pPr>
            <w:r>
              <w:rPr>
                <w:rFonts w:ascii="Arial" w:hAnsi="Arial" w:cs="Arial"/>
                <w:sz w:val="22"/>
                <w:szCs w:val="22"/>
              </w:rPr>
              <w:t>N/A</w:t>
            </w:r>
          </w:p>
        </w:tc>
        <w:tc>
          <w:tcPr>
            <w:tcW w:w="0" w:type="auto"/>
          </w:tcPr>
          <w:p w14:paraId="6C28DA82" w14:textId="77777777" w:rsidR="006D676B" w:rsidRDefault="006D676B" w:rsidP="005166A3">
            <w:pPr>
              <w:jc w:val="both"/>
              <w:rPr>
                <w:rFonts w:ascii="Arial" w:hAnsi="Arial" w:cs="Arial"/>
                <w:sz w:val="22"/>
                <w:szCs w:val="22"/>
              </w:rPr>
            </w:pPr>
            <w:r>
              <w:rPr>
                <w:rFonts w:ascii="Arial" w:hAnsi="Arial" w:cs="Arial"/>
                <w:sz w:val="22"/>
                <w:szCs w:val="22"/>
              </w:rPr>
              <w:t xml:space="preserve">Se recomienda </w:t>
            </w:r>
            <w:r w:rsidRPr="0027231C">
              <w:rPr>
                <w:rFonts w:ascii="Arial" w:hAnsi="Arial" w:cs="Arial"/>
                <w:sz w:val="22"/>
                <w:szCs w:val="22"/>
              </w:rPr>
              <w:t>incluir al Ministerio de Ciencia, Tecnología e Innovación dentro de la integración de esta Comisión</w:t>
            </w:r>
            <w:r>
              <w:rPr>
                <w:rFonts w:ascii="Arial" w:hAnsi="Arial" w:cs="Arial"/>
                <w:sz w:val="22"/>
                <w:szCs w:val="22"/>
              </w:rPr>
              <w:t xml:space="preserve">, </w:t>
            </w:r>
            <w:r w:rsidRPr="00EB7124">
              <w:rPr>
                <w:rFonts w:ascii="Arial" w:hAnsi="Arial" w:cs="Arial"/>
                <w:sz w:val="22"/>
                <w:szCs w:val="22"/>
              </w:rPr>
              <w:t>teniendo en cuenta que el desarrollo del hidrógeno de bajas emisiones requiere un fuerte</w:t>
            </w:r>
            <w:r>
              <w:t xml:space="preserve"> </w:t>
            </w:r>
            <w:r w:rsidRPr="0027231C">
              <w:rPr>
                <w:rFonts w:ascii="Arial" w:hAnsi="Arial" w:cs="Arial"/>
                <w:sz w:val="22"/>
                <w:szCs w:val="22"/>
              </w:rPr>
              <w:t xml:space="preserve">componente de </w:t>
            </w:r>
            <w:r w:rsidRPr="00F77D3F">
              <w:rPr>
                <w:rFonts w:ascii="Arial" w:hAnsi="Arial" w:cs="Arial"/>
                <w:sz w:val="22"/>
                <w:szCs w:val="22"/>
              </w:rPr>
              <w:t>investigación, desarrollo tecnológico, innovación y transferencia de conocimiento,</w:t>
            </w:r>
            <w:r w:rsidRPr="0027231C">
              <w:rPr>
                <w:rFonts w:ascii="Arial" w:hAnsi="Arial" w:cs="Arial"/>
                <w:sz w:val="22"/>
                <w:szCs w:val="22"/>
              </w:rPr>
              <w:t xml:space="preserve"> aspectos fundamentales para el escalamiento de estas tecnologías, el desarrollo de capacidades nacionales y la formación de talento humano especializado.</w:t>
            </w:r>
          </w:p>
          <w:p w14:paraId="02035437" w14:textId="77777777" w:rsidR="006D676B" w:rsidRDefault="006D676B" w:rsidP="005166A3">
            <w:pPr>
              <w:jc w:val="both"/>
              <w:rPr>
                <w:rFonts w:ascii="Arial" w:hAnsi="Arial" w:cs="Arial"/>
                <w:sz w:val="22"/>
                <w:szCs w:val="22"/>
              </w:rPr>
            </w:pPr>
          </w:p>
          <w:p w14:paraId="0C14AA88" w14:textId="77777777" w:rsidR="006D676B" w:rsidRPr="00F77D3F" w:rsidRDefault="006D676B" w:rsidP="005166A3">
            <w:pPr>
              <w:jc w:val="both"/>
              <w:rPr>
                <w:rFonts w:ascii="Arial" w:hAnsi="Arial" w:cs="Arial"/>
                <w:b/>
                <w:bCs/>
                <w:sz w:val="22"/>
                <w:szCs w:val="22"/>
              </w:rPr>
            </w:pPr>
            <w:r w:rsidRPr="00F77D3F">
              <w:rPr>
                <w:rFonts w:ascii="Arial" w:hAnsi="Arial" w:cs="Arial"/>
                <w:b/>
                <w:bCs/>
                <w:sz w:val="22"/>
                <w:szCs w:val="22"/>
              </w:rPr>
              <w:t>Añadir:</w:t>
            </w:r>
          </w:p>
          <w:p w14:paraId="719844CE" w14:textId="77777777" w:rsidR="006D676B" w:rsidRDefault="006D676B" w:rsidP="005166A3">
            <w:pPr>
              <w:jc w:val="both"/>
              <w:rPr>
                <w:rFonts w:ascii="Arial" w:hAnsi="Arial" w:cs="Arial"/>
                <w:sz w:val="22"/>
                <w:szCs w:val="22"/>
              </w:rPr>
            </w:pPr>
          </w:p>
          <w:p w14:paraId="4AD8B7FF" w14:textId="099BA6A9" w:rsidR="006D676B" w:rsidRPr="00EA254F" w:rsidRDefault="006D676B" w:rsidP="005166A3">
            <w:pPr>
              <w:jc w:val="both"/>
              <w:rPr>
                <w:rFonts w:ascii="Arial" w:hAnsi="Arial" w:cs="Arial"/>
                <w:sz w:val="22"/>
                <w:szCs w:val="22"/>
              </w:rPr>
            </w:pPr>
            <w:r w:rsidRPr="00F77D3F">
              <w:rPr>
                <w:rFonts w:ascii="Arial" w:hAnsi="Arial" w:cs="Arial"/>
                <w:sz w:val="22"/>
                <w:szCs w:val="22"/>
                <w:highlight w:val="yellow"/>
              </w:rPr>
              <w:t>h) El (la) Ministro(a) de Ciencia, Tecnología e Innovación, o quien haga sus veces.</w:t>
            </w:r>
          </w:p>
        </w:tc>
      </w:tr>
      <w:tr w:rsidR="006D676B" w:rsidRPr="00EA254F" w14:paraId="007FEAA1" w14:textId="77777777" w:rsidTr="00073733">
        <w:tc>
          <w:tcPr>
            <w:tcW w:w="0" w:type="auto"/>
            <w:hideMark/>
          </w:tcPr>
          <w:p w14:paraId="51E1CECE" w14:textId="77777777" w:rsidR="006D676B" w:rsidRPr="00EA254F" w:rsidRDefault="006D676B" w:rsidP="005166A3">
            <w:pPr>
              <w:jc w:val="both"/>
              <w:rPr>
                <w:rFonts w:ascii="Arial" w:hAnsi="Arial" w:cs="Arial"/>
                <w:sz w:val="22"/>
                <w:szCs w:val="22"/>
              </w:rPr>
            </w:pPr>
            <w:r w:rsidRPr="00EA254F">
              <w:rPr>
                <w:rStyle w:val="Fuerte"/>
                <w:rFonts w:ascii="Arial" w:eastAsiaTheme="majorEastAsia" w:hAnsi="Arial" w:cs="Arial"/>
                <w:sz w:val="22"/>
                <w:szCs w:val="22"/>
              </w:rPr>
              <w:t>Artículo 11 – Incentivos tributarios</w:t>
            </w:r>
          </w:p>
        </w:tc>
        <w:tc>
          <w:tcPr>
            <w:tcW w:w="0" w:type="auto"/>
            <w:hideMark/>
          </w:tcPr>
          <w:p w14:paraId="2757C46E" w14:textId="77777777" w:rsidR="006D676B" w:rsidRPr="00EA254F" w:rsidRDefault="006D676B" w:rsidP="005166A3">
            <w:pPr>
              <w:jc w:val="both"/>
              <w:rPr>
                <w:rFonts w:ascii="Arial" w:hAnsi="Arial" w:cs="Arial"/>
                <w:sz w:val="22"/>
                <w:szCs w:val="22"/>
              </w:rPr>
            </w:pPr>
            <w:r w:rsidRPr="00EA254F">
              <w:rPr>
                <w:rFonts w:ascii="Arial" w:hAnsi="Arial" w:cs="Arial"/>
                <w:sz w:val="22"/>
                <w:szCs w:val="22"/>
              </w:rPr>
              <w:t xml:space="preserve">El artículo extiende incentivos a proyectos de hidrógeno y derivados sin </w:t>
            </w:r>
            <w:r w:rsidRPr="00EA254F">
              <w:rPr>
                <w:rFonts w:ascii="Arial" w:hAnsi="Arial" w:cs="Arial"/>
                <w:sz w:val="22"/>
                <w:szCs w:val="22"/>
              </w:rPr>
              <w:lastRenderedPageBreak/>
              <w:t>precisar su destino energético.</w:t>
            </w:r>
          </w:p>
        </w:tc>
        <w:tc>
          <w:tcPr>
            <w:tcW w:w="0" w:type="auto"/>
            <w:hideMark/>
          </w:tcPr>
          <w:p w14:paraId="3676A40A" w14:textId="393C1998" w:rsidR="006D676B" w:rsidRPr="00EA254F" w:rsidRDefault="006D676B" w:rsidP="005166A3">
            <w:pPr>
              <w:jc w:val="both"/>
              <w:rPr>
                <w:rFonts w:ascii="Arial" w:hAnsi="Arial" w:cs="Arial"/>
                <w:sz w:val="22"/>
                <w:szCs w:val="22"/>
              </w:rPr>
            </w:pPr>
            <w:r w:rsidRPr="00EA254F">
              <w:rPr>
                <w:rFonts w:ascii="Arial" w:hAnsi="Arial" w:cs="Arial"/>
                <w:sz w:val="22"/>
                <w:szCs w:val="22"/>
              </w:rPr>
              <w:lastRenderedPageBreak/>
              <w:t>Podría implicar la extensión de incentivos energéticos a actividades industriales o químicas</w:t>
            </w:r>
            <w:r>
              <w:rPr>
                <w:rFonts w:ascii="Arial" w:hAnsi="Arial" w:cs="Arial"/>
                <w:sz w:val="22"/>
                <w:szCs w:val="22"/>
              </w:rPr>
              <w:t xml:space="preserve"> (no energéticos)</w:t>
            </w:r>
            <w:r w:rsidRPr="00EA254F">
              <w:rPr>
                <w:rFonts w:ascii="Arial" w:hAnsi="Arial" w:cs="Arial"/>
                <w:sz w:val="22"/>
                <w:szCs w:val="22"/>
              </w:rPr>
              <w:t>. Se recomienda incluir la precisión “</w:t>
            </w:r>
            <w:r w:rsidRPr="00A840CE">
              <w:rPr>
                <w:rFonts w:ascii="Arial" w:hAnsi="Arial" w:cs="Arial"/>
                <w:sz w:val="22"/>
                <w:szCs w:val="22"/>
                <w:highlight w:val="yellow"/>
              </w:rPr>
              <w:t>cuando tengan fines energéticos</w:t>
            </w:r>
            <w:r w:rsidRPr="00EA254F">
              <w:rPr>
                <w:rFonts w:ascii="Arial" w:hAnsi="Arial" w:cs="Arial"/>
                <w:sz w:val="22"/>
                <w:szCs w:val="22"/>
              </w:rPr>
              <w:t>”.</w:t>
            </w:r>
          </w:p>
        </w:tc>
      </w:tr>
      <w:tr w:rsidR="006D676B" w:rsidRPr="00EA254F" w14:paraId="28A7F238" w14:textId="77777777" w:rsidTr="00073733">
        <w:tc>
          <w:tcPr>
            <w:tcW w:w="0" w:type="auto"/>
            <w:hideMark/>
          </w:tcPr>
          <w:p w14:paraId="4658D18B" w14:textId="77777777" w:rsidR="006D676B" w:rsidRPr="00EA254F" w:rsidRDefault="006D676B" w:rsidP="005166A3">
            <w:pPr>
              <w:jc w:val="both"/>
              <w:rPr>
                <w:rFonts w:ascii="Arial" w:hAnsi="Arial" w:cs="Arial"/>
                <w:sz w:val="22"/>
                <w:szCs w:val="22"/>
              </w:rPr>
            </w:pPr>
            <w:r w:rsidRPr="00EA254F">
              <w:rPr>
                <w:rStyle w:val="Fuerte"/>
                <w:rFonts w:ascii="Arial" w:eastAsiaTheme="majorEastAsia" w:hAnsi="Arial" w:cs="Arial"/>
                <w:sz w:val="22"/>
                <w:szCs w:val="22"/>
              </w:rPr>
              <w:t>Artículo 18 – Incentivos para fertilizantes sostenibles</w:t>
            </w:r>
          </w:p>
        </w:tc>
        <w:tc>
          <w:tcPr>
            <w:tcW w:w="0" w:type="auto"/>
            <w:hideMark/>
          </w:tcPr>
          <w:p w14:paraId="339A8AB9" w14:textId="77777777" w:rsidR="006D676B" w:rsidRPr="00EA254F" w:rsidRDefault="006D676B" w:rsidP="005166A3">
            <w:pPr>
              <w:jc w:val="both"/>
              <w:rPr>
                <w:rFonts w:ascii="Arial" w:hAnsi="Arial" w:cs="Arial"/>
                <w:sz w:val="22"/>
                <w:szCs w:val="22"/>
              </w:rPr>
            </w:pPr>
            <w:r w:rsidRPr="00EA254F">
              <w:rPr>
                <w:rFonts w:ascii="Arial" w:hAnsi="Arial" w:cs="Arial"/>
                <w:sz w:val="22"/>
                <w:szCs w:val="22"/>
              </w:rPr>
              <w:t xml:space="preserve">El artículo establece la elegibilidad para incentivos, pero </w:t>
            </w:r>
            <w:r w:rsidRPr="00EA254F">
              <w:rPr>
                <w:rStyle w:val="Fuerte"/>
                <w:rFonts w:ascii="Arial" w:eastAsiaTheme="majorEastAsia" w:hAnsi="Arial" w:cs="Arial"/>
                <w:sz w:val="22"/>
                <w:szCs w:val="22"/>
              </w:rPr>
              <w:t>no define la entidad evaluadora</w:t>
            </w:r>
            <w:r w:rsidRPr="00EA254F">
              <w:rPr>
                <w:rFonts w:ascii="Arial" w:hAnsi="Arial" w:cs="Arial"/>
                <w:sz w:val="22"/>
                <w:szCs w:val="22"/>
              </w:rPr>
              <w:t>.</w:t>
            </w:r>
          </w:p>
        </w:tc>
        <w:tc>
          <w:tcPr>
            <w:tcW w:w="0" w:type="auto"/>
            <w:hideMark/>
          </w:tcPr>
          <w:p w14:paraId="3092FD61" w14:textId="77777777" w:rsidR="006D676B" w:rsidRDefault="006D676B" w:rsidP="005166A3">
            <w:pPr>
              <w:jc w:val="both"/>
              <w:rPr>
                <w:rFonts w:ascii="Arial" w:hAnsi="Arial" w:cs="Arial"/>
                <w:sz w:val="22"/>
                <w:szCs w:val="22"/>
              </w:rPr>
            </w:pPr>
            <w:r w:rsidRPr="00EA254F">
              <w:rPr>
                <w:rFonts w:ascii="Arial" w:hAnsi="Arial" w:cs="Arial"/>
                <w:sz w:val="22"/>
                <w:szCs w:val="22"/>
              </w:rPr>
              <w:t>La evaluación de proyectos de Ley 1715 está actualmente a cargo de la UPME, cuyas competencias se circunscriben al sector energético. Se recomienda definir la entidad responsable o facultar al Gobierno Nacional para reglamentarlo.</w:t>
            </w:r>
          </w:p>
          <w:p w14:paraId="6B2683A4" w14:textId="77777777" w:rsidR="006D676B" w:rsidRDefault="006D676B" w:rsidP="005166A3">
            <w:pPr>
              <w:jc w:val="both"/>
              <w:rPr>
                <w:rFonts w:ascii="Arial" w:hAnsi="Arial" w:cs="Arial"/>
                <w:sz w:val="22"/>
                <w:szCs w:val="22"/>
              </w:rPr>
            </w:pPr>
          </w:p>
          <w:p w14:paraId="2D883632" w14:textId="77777777" w:rsidR="006D676B" w:rsidRDefault="006D676B" w:rsidP="005166A3">
            <w:pPr>
              <w:jc w:val="both"/>
              <w:rPr>
                <w:rFonts w:ascii="Arial" w:hAnsi="Arial" w:cs="Arial"/>
                <w:sz w:val="22"/>
                <w:szCs w:val="22"/>
              </w:rPr>
            </w:pPr>
            <w:r>
              <w:rPr>
                <w:rFonts w:ascii="Arial" w:hAnsi="Arial" w:cs="Arial"/>
                <w:sz w:val="22"/>
                <w:szCs w:val="22"/>
              </w:rPr>
              <w:t>Se sugiere añadir un parágrafo así:</w:t>
            </w:r>
          </w:p>
          <w:p w14:paraId="3D672D3E" w14:textId="77777777" w:rsidR="006D676B" w:rsidRDefault="006D676B" w:rsidP="005166A3">
            <w:pPr>
              <w:jc w:val="both"/>
              <w:rPr>
                <w:rFonts w:ascii="Arial" w:hAnsi="Arial" w:cs="Arial"/>
                <w:b/>
                <w:bCs/>
                <w:sz w:val="22"/>
                <w:szCs w:val="22"/>
              </w:rPr>
            </w:pPr>
          </w:p>
          <w:p w14:paraId="105504DB" w14:textId="5B69B199" w:rsidR="006D676B" w:rsidRPr="00EA254F" w:rsidRDefault="006D676B" w:rsidP="005166A3">
            <w:pPr>
              <w:jc w:val="both"/>
              <w:rPr>
                <w:rFonts w:ascii="Arial" w:hAnsi="Arial" w:cs="Arial"/>
                <w:sz w:val="22"/>
                <w:szCs w:val="22"/>
              </w:rPr>
            </w:pPr>
            <w:r w:rsidRPr="009E45C6">
              <w:rPr>
                <w:rFonts w:ascii="Arial" w:hAnsi="Arial" w:cs="Arial"/>
                <w:b/>
                <w:bCs/>
                <w:sz w:val="22"/>
                <w:szCs w:val="22"/>
                <w:highlight w:val="yellow"/>
              </w:rPr>
              <w:t>Parágrafo.</w:t>
            </w:r>
            <w:r w:rsidRPr="009E45C6">
              <w:rPr>
                <w:rFonts w:ascii="Arial" w:hAnsi="Arial" w:cs="Arial"/>
                <w:sz w:val="22"/>
                <w:szCs w:val="22"/>
                <w:highlight w:val="yellow"/>
              </w:rPr>
              <w:t xml:space="preserve"> El Ministerio de Agricultura y Desarrollo Rural </w:t>
            </w:r>
            <w:r w:rsidRPr="009E45C6">
              <w:rPr>
                <w:rFonts w:ascii="Arial" w:hAnsi="Arial" w:cs="Arial"/>
                <w:sz w:val="22"/>
                <w:szCs w:val="22"/>
                <w:highlight w:val="yellow"/>
              </w:rPr>
              <w:t xml:space="preserve">y </w:t>
            </w:r>
            <w:r w:rsidRPr="009E45C6">
              <w:rPr>
                <w:rFonts w:ascii="Arial" w:hAnsi="Arial" w:cs="Arial"/>
                <w:sz w:val="22"/>
                <w:szCs w:val="22"/>
                <w:highlight w:val="yellow"/>
              </w:rPr>
              <w:t>el Ministerio de Ambiente y Desarrollo Sostenible, en el marco de sus competencias, reglamentarán el mecanismo institucional y la entidad o entidades responsables de evaluar las solicitudes de proyectos que aspiren a acceder a los incentivos tributarios previstos en el presente artículo, así como los criterios técnicos aplicables para su reconocimiento.</w:t>
            </w:r>
          </w:p>
        </w:tc>
      </w:tr>
      <w:tr w:rsidR="006D676B" w:rsidRPr="00EA254F" w14:paraId="2AF85FD0" w14:textId="77777777" w:rsidTr="00073733">
        <w:tc>
          <w:tcPr>
            <w:tcW w:w="0" w:type="auto"/>
            <w:hideMark/>
          </w:tcPr>
          <w:p w14:paraId="4C7EEA24" w14:textId="77777777" w:rsidR="006D676B" w:rsidRPr="00EA254F" w:rsidRDefault="006D676B" w:rsidP="005166A3">
            <w:pPr>
              <w:jc w:val="both"/>
              <w:rPr>
                <w:rFonts w:ascii="Arial" w:hAnsi="Arial" w:cs="Arial"/>
                <w:sz w:val="22"/>
                <w:szCs w:val="22"/>
              </w:rPr>
            </w:pPr>
            <w:r w:rsidRPr="00EA254F">
              <w:rPr>
                <w:rStyle w:val="Fuerte"/>
                <w:rFonts w:ascii="Arial" w:eastAsiaTheme="majorEastAsia" w:hAnsi="Arial" w:cs="Arial"/>
                <w:sz w:val="22"/>
                <w:szCs w:val="22"/>
              </w:rPr>
              <w:t>Promoción del hidrógeno en el transporte</w:t>
            </w:r>
          </w:p>
        </w:tc>
        <w:tc>
          <w:tcPr>
            <w:tcW w:w="0" w:type="auto"/>
            <w:hideMark/>
          </w:tcPr>
          <w:p w14:paraId="000476AF" w14:textId="03DC9FAD" w:rsidR="006D676B" w:rsidRPr="00EA254F" w:rsidRDefault="006D676B" w:rsidP="005166A3">
            <w:pPr>
              <w:jc w:val="both"/>
              <w:rPr>
                <w:rFonts w:ascii="Arial" w:hAnsi="Arial" w:cs="Arial"/>
                <w:sz w:val="22"/>
                <w:szCs w:val="22"/>
              </w:rPr>
            </w:pPr>
            <w:r>
              <w:rPr>
                <w:rFonts w:ascii="Arial" w:hAnsi="Arial" w:cs="Arial"/>
                <w:sz w:val="22"/>
                <w:szCs w:val="22"/>
              </w:rPr>
              <w:t>N/A</w:t>
            </w:r>
          </w:p>
        </w:tc>
        <w:tc>
          <w:tcPr>
            <w:tcW w:w="0" w:type="auto"/>
            <w:hideMark/>
          </w:tcPr>
          <w:p w14:paraId="2BB746DA" w14:textId="77777777" w:rsidR="006D676B" w:rsidRDefault="006D676B" w:rsidP="005166A3">
            <w:pPr>
              <w:jc w:val="both"/>
              <w:rPr>
                <w:rFonts w:ascii="Arial" w:hAnsi="Arial" w:cs="Arial"/>
                <w:sz w:val="22"/>
                <w:szCs w:val="22"/>
              </w:rPr>
            </w:pPr>
            <w:r w:rsidRPr="00382716">
              <w:rPr>
                <w:rFonts w:ascii="Arial" w:hAnsi="Arial" w:cs="Arial"/>
                <w:sz w:val="22"/>
                <w:szCs w:val="22"/>
              </w:rPr>
              <w:t xml:space="preserve">Se considera positivo que el proyecto incluya disposiciones para evaluar el uso del hidrógeno en el sector transporte. No obstante, podría evaluarse complementar el artículo con el análisis de instrumentos de promoción o incentivos regulatorios, fiscales o arancelarios, así como con lineamientos para la conversión segura de vehículos a tecnologías que utilicen hidrógeno (dual-fuel o </w:t>
            </w:r>
            <w:proofErr w:type="spellStart"/>
            <w:r w:rsidRPr="00382716">
              <w:rPr>
                <w:rFonts w:ascii="Arial" w:hAnsi="Arial" w:cs="Arial"/>
                <w:sz w:val="22"/>
                <w:szCs w:val="22"/>
              </w:rPr>
              <w:t>co</w:t>
            </w:r>
            <w:proofErr w:type="spellEnd"/>
            <w:r w:rsidRPr="00382716">
              <w:rPr>
                <w:rFonts w:ascii="Arial" w:hAnsi="Arial" w:cs="Arial"/>
                <w:sz w:val="22"/>
                <w:szCs w:val="22"/>
              </w:rPr>
              <w:t>-combustión) y el fortalecimiento de capacidades técnicas en talleres especializados.</w:t>
            </w:r>
          </w:p>
          <w:p w14:paraId="15938CD8" w14:textId="77777777" w:rsidR="006D676B" w:rsidRDefault="006D676B" w:rsidP="005166A3">
            <w:pPr>
              <w:jc w:val="both"/>
              <w:rPr>
                <w:rFonts w:ascii="Arial" w:hAnsi="Arial" w:cs="Arial"/>
                <w:sz w:val="22"/>
                <w:szCs w:val="22"/>
              </w:rPr>
            </w:pPr>
          </w:p>
          <w:p w14:paraId="3EFDA525" w14:textId="77777777" w:rsidR="006D676B" w:rsidRDefault="006D676B" w:rsidP="005166A3">
            <w:pPr>
              <w:jc w:val="both"/>
              <w:rPr>
                <w:rFonts w:ascii="Arial" w:hAnsi="Arial" w:cs="Arial"/>
                <w:sz w:val="22"/>
                <w:szCs w:val="22"/>
              </w:rPr>
            </w:pPr>
            <w:r>
              <w:rPr>
                <w:rFonts w:ascii="Arial" w:hAnsi="Arial" w:cs="Arial"/>
                <w:sz w:val="22"/>
                <w:szCs w:val="22"/>
              </w:rPr>
              <w:t>Se propone incluir los siguientes parágrafos:</w:t>
            </w:r>
          </w:p>
          <w:p w14:paraId="7CB3913C" w14:textId="77777777" w:rsidR="006D676B" w:rsidRDefault="006D676B" w:rsidP="005166A3">
            <w:pPr>
              <w:jc w:val="both"/>
              <w:rPr>
                <w:rFonts w:ascii="Arial" w:hAnsi="Arial" w:cs="Arial"/>
                <w:sz w:val="22"/>
                <w:szCs w:val="22"/>
              </w:rPr>
            </w:pPr>
          </w:p>
          <w:p w14:paraId="2DAA23CE" w14:textId="77777777" w:rsidR="006D676B" w:rsidRPr="00CD4863" w:rsidRDefault="006D676B" w:rsidP="00CD4863">
            <w:pPr>
              <w:jc w:val="both"/>
              <w:rPr>
                <w:rFonts w:ascii="Arial" w:hAnsi="Arial" w:cs="Arial"/>
                <w:sz w:val="22"/>
                <w:szCs w:val="22"/>
                <w:highlight w:val="yellow"/>
              </w:rPr>
            </w:pPr>
            <w:r w:rsidRPr="00CD4863">
              <w:rPr>
                <w:rFonts w:ascii="Arial" w:hAnsi="Arial" w:cs="Arial"/>
                <w:b/>
                <w:bCs/>
                <w:sz w:val="22"/>
                <w:szCs w:val="22"/>
                <w:highlight w:val="yellow"/>
              </w:rPr>
              <w:t>Parágrafo 1.</w:t>
            </w:r>
            <w:r w:rsidRPr="00CD4863">
              <w:rPr>
                <w:rFonts w:ascii="Arial" w:hAnsi="Arial" w:cs="Arial"/>
                <w:sz w:val="22"/>
                <w:szCs w:val="22"/>
                <w:highlight w:val="yellow"/>
              </w:rPr>
              <w:t xml:space="preserve"> En el marco de los estudios previstos en el presente artículo, el Ministerio de Transporte, en coordinación con el Ministerio de Minas y Energía y el Ministerio de Hacienda y Crédito Público, evaluará la implementación de instrumentos regulatorios, fiscales o arancelarios que </w:t>
            </w:r>
            <w:r w:rsidRPr="00CD4863">
              <w:rPr>
                <w:rFonts w:ascii="Arial" w:hAnsi="Arial" w:cs="Arial"/>
                <w:sz w:val="22"/>
                <w:szCs w:val="22"/>
                <w:highlight w:val="yellow"/>
              </w:rPr>
              <w:lastRenderedPageBreak/>
              <w:t>promuevan la adopción de vehículos que utilicen hidrógeno de bajas emisiones, incluyendo tecnologías dedicadas, híbridas o dual-fuel, que demuestren reducciones de emisiones frente a tecnologías convencionales.</w:t>
            </w:r>
          </w:p>
          <w:p w14:paraId="17C33048" w14:textId="77777777" w:rsidR="006D676B" w:rsidRPr="00CD4863" w:rsidRDefault="006D676B" w:rsidP="00CD4863">
            <w:pPr>
              <w:jc w:val="both"/>
              <w:rPr>
                <w:rFonts w:ascii="Arial" w:hAnsi="Arial" w:cs="Arial"/>
                <w:sz w:val="22"/>
                <w:szCs w:val="22"/>
                <w:highlight w:val="yellow"/>
              </w:rPr>
            </w:pPr>
          </w:p>
          <w:p w14:paraId="167894FD" w14:textId="41C00799" w:rsidR="006D676B" w:rsidRPr="00EA254F" w:rsidRDefault="006D676B" w:rsidP="005166A3">
            <w:pPr>
              <w:jc w:val="both"/>
              <w:rPr>
                <w:rFonts w:ascii="Arial" w:hAnsi="Arial" w:cs="Arial"/>
                <w:sz w:val="22"/>
                <w:szCs w:val="22"/>
              </w:rPr>
            </w:pPr>
            <w:r w:rsidRPr="00CD4863">
              <w:rPr>
                <w:rFonts w:ascii="Arial" w:hAnsi="Arial" w:cs="Arial"/>
                <w:b/>
                <w:bCs/>
                <w:sz w:val="22"/>
                <w:szCs w:val="22"/>
                <w:highlight w:val="yellow"/>
              </w:rPr>
              <w:t>Parágrafo 2.</w:t>
            </w:r>
            <w:r w:rsidRPr="00CD4863">
              <w:rPr>
                <w:rFonts w:ascii="Arial" w:hAnsi="Arial" w:cs="Arial"/>
                <w:sz w:val="22"/>
                <w:szCs w:val="22"/>
                <w:highlight w:val="yellow"/>
              </w:rPr>
              <w:t xml:space="preserve"> El Ministerio de Transporte analizará la necesidad de establecer lineamientos técnicos y de seguridad para la conversión de vehículos a tecnologías que utilicen hidrógeno, incluyendo sistemas dual-fuel o de </w:t>
            </w:r>
            <w:proofErr w:type="spellStart"/>
            <w:r w:rsidRPr="00CD4863">
              <w:rPr>
                <w:rFonts w:ascii="Arial" w:hAnsi="Arial" w:cs="Arial"/>
                <w:sz w:val="22"/>
                <w:szCs w:val="22"/>
                <w:highlight w:val="yellow"/>
              </w:rPr>
              <w:t>co</w:t>
            </w:r>
            <w:proofErr w:type="spellEnd"/>
            <w:r w:rsidRPr="00CD4863">
              <w:rPr>
                <w:rFonts w:ascii="Arial" w:hAnsi="Arial" w:cs="Arial"/>
                <w:sz w:val="22"/>
                <w:szCs w:val="22"/>
                <w:highlight w:val="yellow"/>
              </w:rPr>
              <w:t>-combustión, así como mecanismos de capacitación y certificación para talleres que realicen dichas conversiones.</w:t>
            </w:r>
          </w:p>
        </w:tc>
      </w:tr>
    </w:tbl>
    <w:p w14:paraId="233557C2" w14:textId="77777777" w:rsidR="00A417C6" w:rsidRPr="00965D0F" w:rsidRDefault="00A417C6" w:rsidP="00965D0F">
      <w:pPr>
        <w:spacing w:line="276" w:lineRule="auto"/>
        <w:jc w:val="both"/>
        <w:rPr>
          <w:rFonts w:ascii="Arial" w:hAnsi="Arial" w:cs="Arial"/>
        </w:rPr>
      </w:pPr>
    </w:p>
    <w:sectPr w:rsidR="00A417C6" w:rsidRPr="00965D0F">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548EC" w14:textId="77777777" w:rsidR="0014025D" w:rsidRDefault="0014025D" w:rsidP="00627F1C">
      <w:r>
        <w:separator/>
      </w:r>
    </w:p>
  </w:endnote>
  <w:endnote w:type="continuationSeparator" w:id="0">
    <w:p w14:paraId="1FBADA78" w14:textId="77777777" w:rsidR="0014025D" w:rsidRDefault="0014025D" w:rsidP="0062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ork Sans">
    <w:panose1 w:val="00000000000000000000"/>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5B07" w14:textId="6E450E29" w:rsidR="00627F1C" w:rsidRDefault="00627F1C">
    <w:pPr>
      <w:pStyle w:val="Piedepgina"/>
    </w:pPr>
    <w:r>
      <w:rPr>
        <w:noProof/>
      </w:rPr>
      <w:drawing>
        <wp:anchor distT="0" distB="0" distL="114300" distR="114300" simplePos="0" relativeHeight="251661312" behindDoc="0" locked="0" layoutInCell="1" allowOverlap="1" wp14:anchorId="6A3D1DCC" wp14:editId="308B7429">
          <wp:simplePos x="0" y="0"/>
          <wp:positionH relativeFrom="margin">
            <wp:posOffset>0</wp:posOffset>
          </wp:positionH>
          <wp:positionV relativeFrom="paragraph">
            <wp:posOffset>-244174</wp:posOffset>
          </wp:positionV>
          <wp:extent cx="5143500" cy="800100"/>
          <wp:effectExtent l="0" t="0" r="0" b="0"/>
          <wp:wrapSquare wrapText="bothSides"/>
          <wp:docPr id="2067208657" name="Imagen 1" descr="Text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Imagen 1" descr="Texto&#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FFE0C" w14:textId="77777777" w:rsidR="0014025D" w:rsidRDefault="0014025D" w:rsidP="00627F1C">
      <w:r>
        <w:separator/>
      </w:r>
    </w:p>
  </w:footnote>
  <w:footnote w:type="continuationSeparator" w:id="0">
    <w:p w14:paraId="7195CBC9" w14:textId="77777777" w:rsidR="0014025D" w:rsidRDefault="0014025D" w:rsidP="00627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B7673" w14:textId="77777777" w:rsidR="00627F1C" w:rsidRDefault="00627F1C" w:rsidP="00627F1C">
    <w:pPr>
      <w:pStyle w:val="Encabezado"/>
      <w:jc w:val="right"/>
      <w:rPr>
        <w:rFonts w:ascii="Work Sans" w:hAnsi="Work Sans" w:cs="Arial"/>
        <w:sz w:val="18"/>
      </w:rPr>
    </w:pPr>
    <w:r>
      <w:rPr>
        <w:noProof/>
      </w:rPr>
      <w:drawing>
        <wp:anchor distT="0" distB="0" distL="114300" distR="114300" simplePos="0" relativeHeight="251659264" behindDoc="0" locked="0" layoutInCell="1" allowOverlap="1" wp14:anchorId="4527290A" wp14:editId="3328A1EA">
          <wp:simplePos x="0" y="0"/>
          <wp:positionH relativeFrom="margin">
            <wp:posOffset>2399253</wp:posOffset>
          </wp:positionH>
          <wp:positionV relativeFrom="paragraph">
            <wp:posOffset>-207645</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4A5BF7D0" w14:textId="77777777" w:rsidR="00627F1C" w:rsidRDefault="00627F1C" w:rsidP="00627F1C">
    <w:pPr>
      <w:pStyle w:val="Encabezado"/>
      <w:jc w:val="right"/>
      <w:rPr>
        <w:rFonts w:ascii="Work Sans" w:hAnsi="Work Sans" w:cs="Arial"/>
        <w:sz w:val="18"/>
      </w:rPr>
    </w:pPr>
  </w:p>
  <w:p w14:paraId="453EBED4" w14:textId="77777777" w:rsidR="00627F1C" w:rsidRDefault="00627F1C" w:rsidP="00627F1C">
    <w:pPr>
      <w:pStyle w:val="Encabezado"/>
      <w:rPr>
        <w:rFonts w:ascii="Work Sans" w:hAnsi="Work Sans" w:cs="Arial"/>
        <w:sz w:val="18"/>
      </w:rPr>
    </w:pPr>
  </w:p>
  <w:p w14:paraId="11089D71" w14:textId="2C95E54D" w:rsidR="00627F1C" w:rsidRPr="00627F1C" w:rsidRDefault="00627F1C" w:rsidP="00627F1C">
    <w:pPr>
      <w:pStyle w:val="Encabezado"/>
      <w:jc w:val="right"/>
      <w:rPr>
        <w:rFonts w:ascii="Work Sans" w:eastAsia="Arial Unicode MS" w:hAnsi="Work Sans" w:cs="Arial"/>
        <w:iCs/>
        <w:sz w:val="18"/>
        <w:szCs w:val="20"/>
      </w:rPr>
    </w:pPr>
    <w:r>
      <w:rPr>
        <w:rFonts w:ascii="Work Sans" w:hAnsi="Work Sans" w:cs="Arial"/>
        <w:sz w:val="18"/>
      </w:rPr>
      <w:t xml:space="preserve">Página </w:t>
    </w:r>
    <w:r>
      <w:rPr>
        <w:rFonts w:ascii="Work Sans" w:hAnsi="Work Sans" w:cs="Arial"/>
        <w:b/>
        <w:bCs/>
        <w:sz w:val="18"/>
      </w:rPr>
      <w:fldChar w:fldCharType="begin"/>
    </w:r>
    <w:r>
      <w:rPr>
        <w:rFonts w:ascii="Work Sans" w:hAnsi="Work Sans" w:cs="Arial"/>
        <w:b/>
        <w:bCs/>
        <w:sz w:val="18"/>
      </w:rPr>
      <w:instrText>PAGE</w:instrText>
    </w:r>
    <w:r>
      <w:rPr>
        <w:rFonts w:ascii="Work Sans" w:hAnsi="Work Sans" w:cs="Arial"/>
        <w:b/>
        <w:bCs/>
        <w:sz w:val="18"/>
      </w:rPr>
      <w:fldChar w:fldCharType="separate"/>
    </w:r>
    <w:r>
      <w:rPr>
        <w:rFonts w:ascii="Work Sans" w:hAnsi="Work Sans" w:cs="Arial"/>
        <w:b/>
        <w:bCs/>
        <w:sz w:val="18"/>
      </w:rPr>
      <w:t>1</w:t>
    </w:r>
    <w:r>
      <w:rPr>
        <w:rFonts w:ascii="Work Sans" w:hAnsi="Work Sans" w:cs="Arial"/>
        <w:b/>
        <w:bCs/>
        <w:sz w:val="18"/>
      </w:rPr>
      <w:fldChar w:fldCharType="end"/>
    </w:r>
    <w:r>
      <w:rPr>
        <w:rFonts w:ascii="Work Sans" w:hAnsi="Work Sans" w:cs="Arial"/>
        <w:sz w:val="18"/>
      </w:rPr>
      <w:t xml:space="preserve"> de </w:t>
    </w:r>
    <w:r>
      <w:rPr>
        <w:rFonts w:ascii="Work Sans" w:hAnsi="Work Sans" w:cs="Arial"/>
        <w:b/>
        <w:bCs/>
        <w:sz w:val="18"/>
      </w:rPr>
      <w:fldChar w:fldCharType="begin"/>
    </w:r>
    <w:r>
      <w:rPr>
        <w:rFonts w:ascii="Work Sans" w:hAnsi="Work Sans" w:cs="Arial"/>
        <w:b/>
        <w:bCs/>
        <w:sz w:val="18"/>
      </w:rPr>
      <w:instrText>NUMPAGES</w:instrText>
    </w:r>
    <w:r>
      <w:rPr>
        <w:rFonts w:ascii="Work Sans" w:hAnsi="Work Sans" w:cs="Arial"/>
        <w:b/>
        <w:bCs/>
        <w:sz w:val="18"/>
      </w:rPr>
      <w:fldChar w:fldCharType="separate"/>
    </w:r>
    <w:r>
      <w:rPr>
        <w:rFonts w:ascii="Work Sans" w:hAnsi="Work Sans" w:cs="Arial"/>
        <w:b/>
        <w:bCs/>
        <w:sz w:val="18"/>
      </w:rPr>
      <w:t>8</w:t>
    </w:r>
    <w:r>
      <w:rPr>
        <w:rFonts w:ascii="Work Sans" w:hAnsi="Work Sans"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A37B5"/>
    <w:multiLevelType w:val="hybridMultilevel"/>
    <w:tmpl w:val="CA023B6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9C34566"/>
    <w:multiLevelType w:val="multilevel"/>
    <w:tmpl w:val="29AE4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2ED403A"/>
    <w:multiLevelType w:val="multilevel"/>
    <w:tmpl w:val="59D48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7016950">
    <w:abstractNumId w:val="1"/>
  </w:num>
  <w:num w:numId="2" w16cid:durableId="1086809882">
    <w:abstractNumId w:val="2"/>
  </w:num>
  <w:num w:numId="3" w16cid:durableId="1211770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F1C"/>
    <w:rsid w:val="0000176C"/>
    <w:rsid w:val="00031C33"/>
    <w:rsid w:val="00034E08"/>
    <w:rsid w:val="00071AEF"/>
    <w:rsid w:val="00072AA5"/>
    <w:rsid w:val="00073733"/>
    <w:rsid w:val="000C36CA"/>
    <w:rsid w:val="00130EB3"/>
    <w:rsid w:val="001364B9"/>
    <w:rsid w:val="0014025D"/>
    <w:rsid w:val="001E3CD8"/>
    <w:rsid w:val="0027231C"/>
    <w:rsid w:val="002B314C"/>
    <w:rsid w:val="00344956"/>
    <w:rsid w:val="00382716"/>
    <w:rsid w:val="003856E7"/>
    <w:rsid w:val="003C1E2A"/>
    <w:rsid w:val="00461EDC"/>
    <w:rsid w:val="005166A3"/>
    <w:rsid w:val="005204AF"/>
    <w:rsid w:val="00557988"/>
    <w:rsid w:val="005644E2"/>
    <w:rsid w:val="00585FC2"/>
    <w:rsid w:val="005A48B8"/>
    <w:rsid w:val="00601C2B"/>
    <w:rsid w:val="00627F1C"/>
    <w:rsid w:val="0063775C"/>
    <w:rsid w:val="00647DED"/>
    <w:rsid w:val="006628A9"/>
    <w:rsid w:val="00684282"/>
    <w:rsid w:val="006D676B"/>
    <w:rsid w:val="006E1EAC"/>
    <w:rsid w:val="00811C45"/>
    <w:rsid w:val="00856F17"/>
    <w:rsid w:val="00887522"/>
    <w:rsid w:val="008C3946"/>
    <w:rsid w:val="008D01B0"/>
    <w:rsid w:val="009063E1"/>
    <w:rsid w:val="009468DC"/>
    <w:rsid w:val="00965D0F"/>
    <w:rsid w:val="0098424E"/>
    <w:rsid w:val="009E45C6"/>
    <w:rsid w:val="00A07AA6"/>
    <w:rsid w:val="00A417C6"/>
    <w:rsid w:val="00A50782"/>
    <w:rsid w:val="00A657E8"/>
    <w:rsid w:val="00A840CE"/>
    <w:rsid w:val="00AA6BC5"/>
    <w:rsid w:val="00B14E7A"/>
    <w:rsid w:val="00B7532E"/>
    <w:rsid w:val="00BE0EA7"/>
    <w:rsid w:val="00C07438"/>
    <w:rsid w:val="00C324D3"/>
    <w:rsid w:val="00C55158"/>
    <w:rsid w:val="00C65220"/>
    <w:rsid w:val="00CD4863"/>
    <w:rsid w:val="00CF0FF7"/>
    <w:rsid w:val="00D35E78"/>
    <w:rsid w:val="00DB2D0F"/>
    <w:rsid w:val="00DB48E8"/>
    <w:rsid w:val="00DC30B9"/>
    <w:rsid w:val="00DD7CC7"/>
    <w:rsid w:val="00E017A2"/>
    <w:rsid w:val="00E159DB"/>
    <w:rsid w:val="00EA254F"/>
    <w:rsid w:val="00EB7124"/>
    <w:rsid w:val="00EC13F8"/>
    <w:rsid w:val="00F0799A"/>
    <w:rsid w:val="00F77D3F"/>
    <w:rsid w:val="00FD28FE"/>
    <w:rsid w:val="00FD57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123B9"/>
  <w15:chartTrackingRefBased/>
  <w15:docId w15:val="{F7AB6BF5-F538-2D4D-AEB1-39B1516A8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7C6"/>
    <w:pPr>
      <w:spacing w:after="0" w:line="240" w:lineRule="auto"/>
    </w:pPr>
    <w:rPr>
      <w:rFonts w:ascii="Times New Roman" w:eastAsia="Times New Roman" w:hAnsi="Times New Roman" w:cs="Times New Roman"/>
      <w:kern w:val="0"/>
      <w:lang w:eastAsia="es-MX"/>
      <w14:ligatures w14:val="none"/>
    </w:rPr>
  </w:style>
  <w:style w:type="paragraph" w:styleId="Ttulo1">
    <w:name w:val="heading 1"/>
    <w:basedOn w:val="Normal"/>
    <w:next w:val="Normal"/>
    <w:link w:val="Ttulo1Car"/>
    <w:uiPriority w:val="9"/>
    <w:qFormat/>
    <w:rsid w:val="00627F1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627F1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unhideWhenUsed/>
    <w:qFormat/>
    <w:rsid w:val="00627F1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627F1C"/>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27F1C"/>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27F1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27F1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27F1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27F1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27F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27F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627F1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27F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27F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27F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27F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27F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27F1C"/>
    <w:rPr>
      <w:rFonts w:eastAsiaTheme="majorEastAsia" w:cstheme="majorBidi"/>
      <w:color w:val="272727" w:themeColor="text1" w:themeTint="D8"/>
    </w:rPr>
  </w:style>
  <w:style w:type="paragraph" w:styleId="Ttulo">
    <w:name w:val="Title"/>
    <w:basedOn w:val="Normal"/>
    <w:next w:val="Normal"/>
    <w:link w:val="TtuloCar"/>
    <w:uiPriority w:val="10"/>
    <w:qFormat/>
    <w:rsid w:val="00627F1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27F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27F1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27F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27F1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27F1C"/>
    <w:rPr>
      <w:i/>
      <w:iCs/>
      <w:color w:val="404040" w:themeColor="text1" w:themeTint="BF"/>
    </w:rPr>
  </w:style>
  <w:style w:type="paragraph" w:styleId="Prrafodelista">
    <w:name w:val="List Paragraph"/>
    <w:basedOn w:val="Normal"/>
    <w:uiPriority w:val="34"/>
    <w:qFormat/>
    <w:rsid w:val="00627F1C"/>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nfasisintenso">
    <w:name w:val="Intense Emphasis"/>
    <w:basedOn w:val="Fuentedeprrafopredeter"/>
    <w:uiPriority w:val="21"/>
    <w:qFormat/>
    <w:rsid w:val="00627F1C"/>
    <w:rPr>
      <w:i/>
      <w:iCs/>
      <w:color w:val="0F4761" w:themeColor="accent1" w:themeShade="BF"/>
    </w:rPr>
  </w:style>
  <w:style w:type="paragraph" w:styleId="Citadestacada">
    <w:name w:val="Intense Quote"/>
    <w:basedOn w:val="Normal"/>
    <w:next w:val="Normal"/>
    <w:link w:val="CitadestacadaCar"/>
    <w:uiPriority w:val="30"/>
    <w:qFormat/>
    <w:rsid w:val="00627F1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27F1C"/>
    <w:rPr>
      <w:i/>
      <w:iCs/>
      <w:color w:val="0F4761" w:themeColor="accent1" w:themeShade="BF"/>
    </w:rPr>
  </w:style>
  <w:style w:type="character" w:styleId="Referenciaintensa">
    <w:name w:val="Intense Reference"/>
    <w:basedOn w:val="Fuentedeprrafopredeter"/>
    <w:uiPriority w:val="32"/>
    <w:qFormat/>
    <w:rsid w:val="00627F1C"/>
    <w:rPr>
      <w:b/>
      <w:bCs/>
      <w:smallCaps/>
      <w:color w:val="0F4761" w:themeColor="accent1" w:themeShade="BF"/>
      <w:spacing w:val="5"/>
    </w:rPr>
  </w:style>
  <w:style w:type="paragraph" w:styleId="Encabezado">
    <w:name w:val="header"/>
    <w:basedOn w:val="Normal"/>
    <w:link w:val="EncabezadoCar"/>
    <w:uiPriority w:val="99"/>
    <w:unhideWhenUsed/>
    <w:rsid w:val="00627F1C"/>
    <w:pPr>
      <w:tabs>
        <w:tab w:val="center" w:pos="4419"/>
        <w:tab w:val="right" w:pos="8838"/>
      </w:tabs>
    </w:pPr>
    <w:rPr>
      <w:rFonts w:asciiTheme="minorHAnsi" w:eastAsiaTheme="minorHAnsi" w:hAnsiTheme="minorHAnsi" w:cstheme="minorBidi"/>
      <w:kern w:val="2"/>
      <w:lang w:eastAsia="en-US"/>
      <w14:ligatures w14:val="standardContextual"/>
    </w:rPr>
  </w:style>
  <w:style w:type="character" w:customStyle="1" w:styleId="EncabezadoCar">
    <w:name w:val="Encabezado Car"/>
    <w:basedOn w:val="Fuentedeprrafopredeter"/>
    <w:link w:val="Encabezado"/>
    <w:uiPriority w:val="99"/>
    <w:qFormat/>
    <w:rsid w:val="00627F1C"/>
  </w:style>
  <w:style w:type="paragraph" w:styleId="Piedepgina">
    <w:name w:val="footer"/>
    <w:basedOn w:val="Normal"/>
    <w:link w:val="PiedepginaCar"/>
    <w:uiPriority w:val="99"/>
    <w:unhideWhenUsed/>
    <w:rsid w:val="00627F1C"/>
    <w:pPr>
      <w:tabs>
        <w:tab w:val="center" w:pos="4419"/>
        <w:tab w:val="right" w:pos="8838"/>
      </w:tabs>
    </w:pPr>
    <w:rPr>
      <w:rFonts w:asciiTheme="minorHAnsi" w:eastAsiaTheme="minorHAnsi" w:hAnsiTheme="minorHAnsi" w:cstheme="minorBidi"/>
      <w:kern w:val="2"/>
      <w:lang w:eastAsia="en-US"/>
      <w14:ligatures w14:val="standardContextual"/>
    </w:rPr>
  </w:style>
  <w:style w:type="character" w:customStyle="1" w:styleId="PiedepginaCar">
    <w:name w:val="Pie de página Car"/>
    <w:basedOn w:val="Fuentedeprrafopredeter"/>
    <w:link w:val="Piedepgina"/>
    <w:uiPriority w:val="99"/>
    <w:rsid w:val="00627F1C"/>
  </w:style>
  <w:style w:type="paragraph" w:styleId="Textoindependiente">
    <w:name w:val="Body Text"/>
    <w:basedOn w:val="Normal"/>
    <w:link w:val="TextoindependienteCar"/>
    <w:uiPriority w:val="1"/>
    <w:qFormat/>
    <w:rsid w:val="00627F1C"/>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627F1C"/>
    <w:rPr>
      <w:rFonts w:ascii="Times New Roman" w:eastAsia="Times New Roman" w:hAnsi="Times New Roman" w:cs="Times New Roman"/>
      <w:kern w:val="0"/>
      <w:sz w:val="22"/>
      <w:szCs w:val="22"/>
      <w:lang w:val="es-ES"/>
      <w14:ligatures w14:val="none"/>
    </w:rPr>
  </w:style>
  <w:style w:type="character" w:styleId="Hipervnculo">
    <w:name w:val="Hyperlink"/>
    <w:basedOn w:val="Fuentedeprrafopredeter"/>
    <w:uiPriority w:val="99"/>
    <w:unhideWhenUsed/>
    <w:rsid w:val="00627F1C"/>
    <w:rPr>
      <w:color w:val="467886" w:themeColor="hyperlink"/>
      <w:u w:val="single"/>
    </w:rPr>
  </w:style>
  <w:style w:type="character" w:styleId="Mencinsinresolver">
    <w:name w:val="Unresolved Mention"/>
    <w:basedOn w:val="Fuentedeprrafopredeter"/>
    <w:uiPriority w:val="99"/>
    <w:semiHidden/>
    <w:unhideWhenUsed/>
    <w:rsid w:val="00627F1C"/>
    <w:rPr>
      <w:color w:val="605E5C"/>
      <w:shd w:val="clear" w:color="auto" w:fill="E1DFDD"/>
    </w:rPr>
  </w:style>
  <w:style w:type="character" w:styleId="Fuerte">
    <w:name w:val="Strong"/>
    <w:basedOn w:val="Fuentedeprrafopredeter"/>
    <w:uiPriority w:val="22"/>
    <w:qFormat/>
    <w:rsid w:val="00A417C6"/>
    <w:rPr>
      <w:b/>
      <w:bCs/>
    </w:rPr>
  </w:style>
  <w:style w:type="paragraph" w:customStyle="1" w:styleId="p1">
    <w:name w:val="p1"/>
    <w:basedOn w:val="Normal"/>
    <w:rsid w:val="00071AEF"/>
    <w:rPr>
      <w:color w:val="141413"/>
      <w:sz w:val="17"/>
      <w:szCs w:val="17"/>
    </w:rPr>
  </w:style>
  <w:style w:type="table" w:styleId="Tablaconcuadrcula">
    <w:name w:val="Table Grid"/>
    <w:basedOn w:val="Tablanormal"/>
    <w:uiPriority w:val="39"/>
    <w:rsid w:val="00073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1C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393996">
      <w:bodyDiv w:val="1"/>
      <w:marLeft w:val="0"/>
      <w:marRight w:val="0"/>
      <w:marTop w:val="0"/>
      <w:marBottom w:val="0"/>
      <w:divBdr>
        <w:top w:val="none" w:sz="0" w:space="0" w:color="auto"/>
        <w:left w:val="none" w:sz="0" w:space="0" w:color="auto"/>
        <w:bottom w:val="none" w:sz="0" w:space="0" w:color="auto"/>
        <w:right w:val="none" w:sz="0" w:space="0" w:color="auto"/>
      </w:divBdr>
    </w:div>
    <w:div w:id="391540952">
      <w:bodyDiv w:val="1"/>
      <w:marLeft w:val="0"/>
      <w:marRight w:val="0"/>
      <w:marTop w:val="0"/>
      <w:marBottom w:val="0"/>
      <w:divBdr>
        <w:top w:val="none" w:sz="0" w:space="0" w:color="auto"/>
        <w:left w:val="none" w:sz="0" w:space="0" w:color="auto"/>
        <w:bottom w:val="none" w:sz="0" w:space="0" w:color="auto"/>
        <w:right w:val="none" w:sz="0" w:space="0" w:color="auto"/>
      </w:divBdr>
      <w:divsChild>
        <w:div w:id="20708807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230479">
      <w:bodyDiv w:val="1"/>
      <w:marLeft w:val="0"/>
      <w:marRight w:val="0"/>
      <w:marTop w:val="0"/>
      <w:marBottom w:val="0"/>
      <w:divBdr>
        <w:top w:val="none" w:sz="0" w:space="0" w:color="auto"/>
        <w:left w:val="none" w:sz="0" w:space="0" w:color="auto"/>
        <w:bottom w:val="none" w:sz="0" w:space="0" w:color="auto"/>
        <w:right w:val="none" w:sz="0" w:space="0" w:color="auto"/>
      </w:divBdr>
      <w:divsChild>
        <w:div w:id="2050685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9BF449966628F4E89C5EAAB40E93D8C" ma:contentTypeVersion="13" ma:contentTypeDescription="Crear nuevo documento." ma:contentTypeScope="" ma:versionID="ec5561c4dd22b637a3add8d65b13165e">
  <xsd:schema xmlns:xsd="http://www.w3.org/2001/XMLSchema" xmlns:xs="http://www.w3.org/2001/XMLSchema" xmlns:p="http://schemas.microsoft.com/office/2006/metadata/properties" xmlns:ns2="2b940d47-762f-491d-8088-b41f3fd8e9be" xmlns:ns3="7c218c94-d2c7-4b29-8220-c4361c1fdd45" targetNamespace="http://schemas.microsoft.com/office/2006/metadata/properties" ma:root="true" ma:fieldsID="ec4376872f77351b896c57bf87fe0ae0" ns2:_="" ns3:_="">
    <xsd:import namespace="2b940d47-762f-491d-8088-b41f3fd8e9be"/>
    <xsd:import namespace="7c218c94-d2c7-4b29-8220-c4361c1fdd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40d47-762f-491d-8088-b41f3fd8e9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218c94-d2c7-4b29-8220-c4361c1fdd4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c3bd093-c293-4b57-b424-82f1d265a327}" ma:internalName="TaxCatchAll" ma:showField="CatchAllData" ma:web="7c218c94-d2c7-4b29-8220-c4361c1fdd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940d47-762f-491d-8088-b41f3fd8e9be">
      <Terms xmlns="http://schemas.microsoft.com/office/infopath/2007/PartnerControls"/>
    </lcf76f155ced4ddcb4097134ff3c332f>
    <TaxCatchAll xmlns="7c218c94-d2c7-4b29-8220-c4361c1fdd45" xsi:nil="true"/>
  </documentManagement>
</p:properties>
</file>

<file path=customXml/itemProps1.xml><?xml version="1.0" encoding="utf-8"?>
<ds:datastoreItem xmlns:ds="http://schemas.openxmlformats.org/officeDocument/2006/customXml" ds:itemID="{3F13DDB2-03A9-451C-8C6E-EC2B00143713}">
  <ds:schemaRefs>
    <ds:schemaRef ds:uri="http://schemas.microsoft.com/sharepoint/v3/contenttype/forms"/>
  </ds:schemaRefs>
</ds:datastoreItem>
</file>

<file path=customXml/itemProps2.xml><?xml version="1.0" encoding="utf-8"?>
<ds:datastoreItem xmlns:ds="http://schemas.openxmlformats.org/officeDocument/2006/customXml" ds:itemID="{F8C0F2FC-E1B5-4EE7-AF34-CAEE7A755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40d47-762f-491d-8088-b41f3fd8e9be"/>
    <ds:schemaRef ds:uri="7c218c94-d2c7-4b29-8220-c4361c1fdd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DD1BE6-5CC9-4870-AEF8-EA17EA30A78E}">
  <ds:schemaRefs>
    <ds:schemaRef ds:uri="http://schemas.microsoft.com/office/2006/metadata/properties"/>
    <ds:schemaRef ds:uri="http://schemas.microsoft.com/office/infopath/2007/PartnerControls"/>
    <ds:schemaRef ds:uri="2b940d47-762f-491d-8088-b41f3fd8e9be"/>
    <ds:schemaRef ds:uri="7c218c94-d2c7-4b29-8220-c4361c1fdd45"/>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1441</Words>
  <Characters>10089</Characters>
  <Application>Microsoft Office Word</Application>
  <DocSecurity>0</DocSecurity>
  <Lines>1008</Lines>
  <Paragraphs>524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Valencia Duque</dc:creator>
  <cp:keywords/>
  <dc:description/>
  <cp:lastModifiedBy>MELISSA VALENCIA DUQUE</cp:lastModifiedBy>
  <cp:revision>80</cp:revision>
  <dcterms:created xsi:type="dcterms:W3CDTF">2025-08-05T20:30:00Z</dcterms:created>
  <dcterms:modified xsi:type="dcterms:W3CDTF">2026-03-13T22:16:00Z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0x01010029BF449966628F4E89C5EAAB40E93D8C</vt:lpwstr>
  </property>
  <property fmtid="{D5CDD505-2E9C-101B-9397-08002B2CF9AE}" pid="3" name="Order">
    <vt:r8>627900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